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4BBB6" w14:textId="2787C8CD" w:rsidR="00555964" w:rsidRPr="0007432E" w:rsidRDefault="008C7D8B" w:rsidP="00122D0E">
      <w:pPr>
        <w:pStyle w:val="BodyText"/>
        <w:tabs>
          <w:tab w:val="left" w:pos="5954"/>
        </w:tabs>
        <w:snapToGrid w:val="0"/>
        <w:spacing w:before="120"/>
        <w:jc w:val="both"/>
        <w:rPr>
          <w:rFonts w:asciiTheme="minorHAnsi" w:hAnsiTheme="minorHAnsi" w:cstheme="minorHAnsi"/>
          <w:b/>
          <w:bCs/>
          <w:color w:val="27344C"/>
          <w:sz w:val="22"/>
          <w:lang w:bidi="en-US"/>
        </w:rPr>
      </w:pPr>
      <w:proofErr w:type="spellStart"/>
      <w:r w:rsidRPr="0007432E">
        <w:rPr>
          <w:rFonts w:asciiTheme="minorHAnsi" w:hAnsiTheme="minorHAnsi" w:cstheme="minorHAnsi"/>
          <w:b/>
          <w:bCs/>
          <w:color w:val="27344C"/>
          <w:sz w:val="22"/>
          <w:lang w:bidi="en-US"/>
        </w:rPr>
        <w:t>Anexa</w:t>
      </w:r>
      <w:proofErr w:type="spellEnd"/>
      <w:r w:rsidR="00430C3C">
        <w:rPr>
          <w:rFonts w:asciiTheme="minorHAnsi" w:hAnsiTheme="minorHAnsi" w:cstheme="minorHAnsi"/>
          <w:b/>
          <w:bCs/>
          <w:color w:val="27344C"/>
          <w:sz w:val="22"/>
          <w:lang w:bidi="en-US"/>
        </w:rPr>
        <w:t xml:space="preserve"> </w:t>
      </w:r>
      <w:r w:rsidR="00452E6B">
        <w:rPr>
          <w:rFonts w:asciiTheme="minorHAnsi" w:hAnsiTheme="minorHAnsi" w:cstheme="minorHAnsi"/>
          <w:b/>
          <w:bCs/>
          <w:color w:val="27344C"/>
          <w:sz w:val="22"/>
          <w:lang w:bidi="en-US"/>
        </w:rPr>
        <w:t>7</w:t>
      </w:r>
    </w:p>
    <w:p w14:paraId="2FA7C564" w14:textId="77777777" w:rsidR="00C94BBF" w:rsidRPr="0007432E" w:rsidRDefault="00DE51F2" w:rsidP="00C94BBF">
      <w:pPr>
        <w:pStyle w:val="ListParagraph"/>
        <w:snapToGrid w:val="0"/>
        <w:spacing w:before="120" w:after="120"/>
        <w:ind w:left="0" w:right="-777"/>
        <w:rPr>
          <w:rFonts w:cstheme="minorHAnsi"/>
          <w:b/>
          <w:bCs/>
          <w:color w:val="27344C"/>
        </w:rPr>
      </w:pPr>
      <w:r w:rsidRPr="0007432E">
        <w:rPr>
          <w:rFonts w:cstheme="minorHAnsi"/>
          <w:lang w:bidi="en-US"/>
        </w:rPr>
        <w:tab/>
      </w:r>
    </w:p>
    <w:p w14:paraId="767BF1C6" w14:textId="275AD176" w:rsidR="008C7D8B" w:rsidRPr="0007432E" w:rsidRDefault="00C94BBF" w:rsidP="008C7D8B">
      <w:pPr>
        <w:snapToGrid w:val="0"/>
        <w:spacing w:before="120" w:after="120"/>
        <w:contextualSpacing/>
        <w:jc w:val="center"/>
        <w:rPr>
          <w:rFonts w:asciiTheme="minorHAnsi" w:hAnsiTheme="minorHAnsi" w:cstheme="minorHAnsi"/>
          <w:b/>
          <w:bCs/>
          <w:color w:val="27344C"/>
          <w:sz w:val="22"/>
        </w:rPr>
      </w:pPr>
      <w:r w:rsidRPr="0007432E">
        <w:rPr>
          <w:rFonts w:asciiTheme="minorHAnsi" w:hAnsiTheme="minorHAnsi" w:cstheme="minorHAnsi"/>
          <w:b/>
          <w:bCs/>
          <w:color w:val="27344C"/>
          <w:sz w:val="22"/>
        </w:rPr>
        <w:t>PROGRAMUL REGIONAL BUCUREȘTI-ILFOV 2021-2027</w:t>
      </w:r>
    </w:p>
    <w:p w14:paraId="524C4F30" w14:textId="0BF720DC" w:rsidR="00C94BBF" w:rsidRPr="0007432E" w:rsidRDefault="00452E6B" w:rsidP="008C7D8B">
      <w:pPr>
        <w:snapToGrid w:val="0"/>
        <w:spacing w:before="120" w:after="120"/>
        <w:contextualSpacing/>
        <w:rPr>
          <w:rFonts w:asciiTheme="minorHAnsi" w:hAnsiTheme="minorHAnsi" w:cstheme="minorHAnsi"/>
          <w:b/>
          <w:bCs/>
          <w:color w:val="27344C"/>
          <w:sz w:val="22"/>
        </w:rPr>
      </w:pPr>
      <w:r>
        <w:rPr>
          <w:rFonts w:asciiTheme="minorHAnsi" w:hAnsiTheme="minorHAnsi" w:cstheme="minorHAnsi"/>
          <w:b/>
          <w:bCs/>
          <w:color w:val="27344C"/>
          <w:sz w:val="22"/>
        </w:rPr>
        <w:pict w14:anchorId="22B44901">
          <v:rect id="_x0000_i1025" style="width:0;height:1.5pt" o:hralign="center" o:hrstd="t" o:hr="t" fillcolor="#a0a0a0" stroked="f"/>
        </w:pict>
      </w:r>
    </w:p>
    <w:p w14:paraId="5486D7AD" w14:textId="62225E2D" w:rsidR="00C94BBF" w:rsidRPr="0007432E" w:rsidRDefault="00C94BBF" w:rsidP="00430C3C">
      <w:pPr>
        <w:snapToGrid w:val="0"/>
        <w:spacing w:after="120"/>
        <w:rPr>
          <w:rFonts w:asciiTheme="minorHAnsi" w:hAnsiTheme="minorHAnsi" w:cstheme="minorHAnsi"/>
          <w:b/>
          <w:bCs/>
          <w:color w:val="27344C"/>
          <w:lang w:eastAsia="en-GB"/>
        </w:rPr>
      </w:pPr>
      <w:proofErr w:type="spellStart"/>
      <w:r w:rsidRPr="0007432E">
        <w:rPr>
          <w:rFonts w:asciiTheme="minorHAnsi" w:hAnsiTheme="minorHAnsi" w:cstheme="minorHAnsi"/>
          <w:b/>
          <w:bCs/>
          <w:color w:val="27344C"/>
          <w:lang w:eastAsia="en-GB"/>
        </w:rPr>
        <w:t>Prioritatea</w:t>
      </w:r>
      <w:proofErr w:type="spellEnd"/>
      <w:r w:rsidRPr="0007432E">
        <w:rPr>
          <w:rFonts w:asciiTheme="minorHAnsi" w:hAnsiTheme="minorHAnsi" w:cstheme="minorHAnsi"/>
          <w:b/>
          <w:bCs/>
          <w:color w:val="27344C"/>
          <w:lang w:eastAsia="en-GB"/>
        </w:rPr>
        <w:t xml:space="preserve"> 8: </w:t>
      </w:r>
      <w:proofErr w:type="spellStart"/>
      <w:r w:rsidRPr="0007432E">
        <w:rPr>
          <w:rFonts w:asciiTheme="minorHAnsi" w:hAnsiTheme="minorHAnsi" w:cstheme="minorHAnsi"/>
          <w:b/>
          <w:bCs/>
          <w:color w:val="27344C"/>
          <w:lang w:eastAsia="en-GB"/>
        </w:rPr>
        <w:t>Asistență</w:t>
      </w:r>
      <w:proofErr w:type="spellEnd"/>
      <w:r w:rsidRPr="0007432E">
        <w:rPr>
          <w:rFonts w:asciiTheme="minorHAnsi" w:hAnsiTheme="minorHAnsi" w:cstheme="minorHAnsi"/>
          <w:b/>
          <w:bCs/>
          <w:color w:val="27344C"/>
          <w:lang w:eastAsia="en-GB"/>
        </w:rPr>
        <w:t xml:space="preserve"> </w:t>
      </w:r>
      <w:proofErr w:type="spellStart"/>
      <w:r w:rsidRPr="0007432E">
        <w:rPr>
          <w:rFonts w:asciiTheme="minorHAnsi" w:hAnsiTheme="minorHAnsi" w:cstheme="minorHAnsi"/>
          <w:b/>
          <w:bCs/>
          <w:color w:val="27344C"/>
          <w:lang w:eastAsia="en-GB"/>
        </w:rPr>
        <w:t>tehnică</w:t>
      </w:r>
      <w:proofErr w:type="spellEnd"/>
      <w:r w:rsidR="008C7D8B" w:rsidRPr="0007432E">
        <w:rPr>
          <w:rFonts w:asciiTheme="minorHAnsi" w:hAnsiTheme="minorHAnsi" w:cstheme="minorHAnsi"/>
          <w:b/>
          <w:bCs/>
          <w:color w:val="27344C"/>
          <w:lang w:eastAsia="en-GB"/>
        </w:rPr>
        <w:t xml:space="preserve"> </w:t>
      </w:r>
    </w:p>
    <w:p w14:paraId="0F51968F" w14:textId="747794C8" w:rsidR="00C94BBF" w:rsidRPr="0007432E" w:rsidRDefault="00C94BBF" w:rsidP="00430C3C">
      <w:pPr>
        <w:snapToGrid w:val="0"/>
        <w:spacing w:after="120"/>
        <w:rPr>
          <w:rFonts w:asciiTheme="minorHAnsi" w:hAnsiTheme="minorHAnsi" w:cstheme="minorHAnsi"/>
          <w:b/>
          <w:bCs/>
          <w:color w:val="27344C"/>
          <w:lang w:eastAsia="en-GB"/>
        </w:rPr>
      </w:pPr>
      <w:proofErr w:type="spellStart"/>
      <w:r w:rsidRPr="0007432E">
        <w:rPr>
          <w:rFonts w:asciiTheme="minorHAnsi" w:hAnsiTheme="minorHAnsi" w:cstheme="minorHAnsi"/>
          <w:b/>
          <w:bCs/>
          <w:color w:val="27344C"/>
          <w:lang w:eastAsia="en-GB"/>
        </w:rPr>
        <w:t>Apelul</w:t>
      </w:r>
      <w:proofErr w:type="spellEnd"/>
      <w:r w:rsidRPr="0007432E">
        <w:rPr>
          <w:rFonts w:asciiTheme="minorHAnsi" w:hAnsiTheme="minorHAnsi" w:cstheme="minorHAnsi"/>
          <w:b/>
          <w:bCs/>
          <w:color w:val="27344C"/>
          <w:lang w:eastAsia="en-GB"/>
        </w:rPr>
        <w:t xml:space="preserve"> de </w:t>
      </w:r>
      <w:proofErr w:type="spellStart"/>
      <w:r w:rsidRPr="0007432E">
        <w:rPr>
          <w:rFonts w:asciiTheme="minorHAnsi" w:hAnsiTheme="minorHAnsi" w:cstheme="minorHAnsi"/>
          <w:b/>
          <w:bCs/>
          <w:color w:val="27344C"/>
          <w:lang w:eastAsia="en-GB"/>
        </w:rPr>
        <w:t>proiecte</w:t>
      </w:r>
      <w:proofErr w:type="spellEnd"/>
      <w:r w:rsidRPr="0007432E">
        <w:rPr>
          <w:rFonts w:asciiTheme="minorHAnsi" w:hAnsiTheme="minorHAnsi" w:cstheme="minorHAnsi"/>
          <w:b/>
          <w:bCs/>
          <w:color w:val="27344C"/>
          <w:lang w:eastAsia="en-GB"/>
        </w:rPr>
        <w:t xml:space="preserve"> n</w:t>
      </w:r>
      <w:r w:rsidR="00A75346">
        <w:rPr>
          <w:rFonts w:asciiTheme="minorHAnsi" w:hAnsiTheme="minorHAnsi" w:cstheme="minorHAnsi"/>
          <w:b/>
          <w:bCs/>
          <w:color w:val="27344C"/>
          <w:lang w:eastAsia="en-GB"/>
        </w:rPr>
        <w:t xml:space="preserve">r </w:t>
      </w:r>
      <w:r w:rsidR="00A75346" w:rsidRPr="00A75346">
        <w:rPr>
          <w:rFonts w:asciiTheme="minorHAnsi" w:hAnsiTheme="minorHAnsi" w:cstheme="minorHAnsi"/>
          <w:b/>
          <w:bCs/>
          <w:color w:val="27344C"/>
          <w:lang w:val="ro-RO" w:eastAsia="en-GB"/>
        </w:rPr>
        <w:t>PR BI/P8/1/2023</w:t>
      </w:r>
    </w:p>
    <w:p w14:paraId="48099FB9" w14:textId="13A8C03B" w:rsidR="00C94BBF" w:rsidRPr="0007432E" w:rsidRDefault="008C7D8B" w:rsidP="00430C3C">
      <w:pPr>
        <w:snapToGrid w:val="0"/>
        <w:spacing w:after="120"/>
        <w:rPr>
          <w:rFonts w:asciiTheme="minorHAnsi" w:hAnsiTheme="minorHAnsi" w:cstheme="minorHAnsi"/>
          <w:b/>
          <w:bCs/>
          <w:color w:val="27344C"/>
          <w:lang w:eastAsia="en-GB"/>
        </w:rPr>
      </w:pPr>
      <w:r w:rsidRPr="0007432E">
        <w:rPr>
          <w:rFonts w:asciiTheme="minorHAnsi" w:hAnsiTheme="minorHAnsi" w:cstheme="minorHAnsi"/>
          <w:b/>
          <w:bCs/>
          <w:color w:val="27344C"/>
          <w:lang w:eastAsia="en-GB"/>
        </w:rPr>
        <w:t>C</w:t>
      </w:r>
      <w:r w:rsidR="00C94BBF" w:rsidRPr="0007432E">
        <w:rPr>
          <w:rFonts w:asciiTheme="minorHAnsi" w:hAnsiTheme="minorHAnsi" w:cstheme="minorHAnsi"/>
          <w:b/>
          <w:bCs/>
          <w:color w:val="27344C"/>
          <w:lang w:eastAsia="en-GB"/>
        </w:rPr>
        <w:t>od SMIS ...</w:t>
      </w:r>
    </w:p>
    <w:p w14:paraId="4BE36057" w14:textId="497A22F6" w:rsidR="008C7D8B" w:rsidRDefault="008C7D8B" w:rsidP="00430C3C">
      <w:pPr>
        <w:snapToGrid w:val="0"/>
        <w:spacing w:after="120"/>
        <w:rPr>
          <w:rFonts w:asciiTheme="minorHAnsi" w:hAnsiTheme="minorHAnsi" w:cstheme="minorHAnsi"/>
          <w:b/>
          <w:bCs/>
          <w:color w:val="27344C"/>
          <w:lang w:eastAsia="en-GB"/>
        </w:rPr>
      </w:pPr>
      <w:r w:rsidRPr="0007432E">
        <w:rPr>
          <w:rFonts w:asciiTheme="minorHAnsi" w:hAnsiTheme="minorHAnsi" w:cstheme="minorHAnsi"/>
          <w:b/>
          <w:bCs/>
          <w:color w:val="27344C"/>
          <w:lang w:eastAsia="en-GB"/>
        </w:rPr>
        <w:t xml:space="preserve">Solicitant: </w:t>
      </w:r>
    </w:p>
    <w:p w14:paraId="6D9C1E51" w14:textId="218EC9CB" w:rsidR="00073F46" w:rsidRDefault="00073F46" w:rsidP="00073F46">
      <w:pPr>
        <w:rPr>
          <w:rFonts w:asciiTheme="minorHAnsi" w:hAnsiTheme="minorHAnsi" w:cstheme="minorHAnsi"/>
          <w:lang w:eastAsia="en-GB"/>
        </w:rPr>
      </w:pPr>
    </w:p>
    <w:tbl>
      <w:tblPr>
        <w:tblStyle w:val="TableGrid"/>
        <w:tblW w:w="14561" w:type="dxa"/>
        <w:tblLook w:val="04A0" w:firstRow="1" w:lastRow="0" w:firstColumn="1" w:lastColumn="0" w:noHBand="0" w:noVBand="1"/>
      </w:tblPr>
      <w:tblGrid>
        <w:gridCol w:w="730"/>
        <w:gridCol w:w="4227"/>
        <w:gridCol w:w="992"/>
        <w:gridCol w:w="1115"/>
        <w:gridCol w:w="5122"/>
        <w:gridCol w:w="2375"/>
      </w:tblGrid>
      <w:tr w:rsidR="00D44BBF" w14:paraId="3E5C2905" w14:textId="0CC6A989" w:rsidTr="00CC568B">
        <w:trPr>
          <w:tblHeader/>
        </w:trPr>
        <w:tc>
          <w:tcPr>
            <w:tcW w:w="145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4FF"/>
            <w:hideMark/>
          </w:tcPr>
          <w:p w14:paraId="3C62A890" w14:textId="2D6C61B9" w:rsidR="00D44BBF" w:rsidRDefault="0032687F">
            <w:pPr>
              <w:tabs>
                <w:tab w:val="left" w:pos="3360"/>
              </w:tabs>
              <w:spacing w:before="60"/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GRILA</w:t>
            </w:r>
            <w:r w:rsidR="00D44BBF">
              <w:rPr>
                <w:rFonts w:ascii="Calibri" w:hAnsi="Calibri" w:cs="Calibri"/>
                <w:b/>
                <w:bCs/>
                <w:szCs w:val="24"/>
              </w:rPr>
              <w:t xml:space="preserve"> DE EVALUARE TEHNIC</w:t>
            </w:r>
            <w:r w:rsidR="00430C3C">
              <w:rPr>
                <w:rFonts w:ascii="Calibri" w:hAnsi="Calibri" w:cs="Calibri"/>
                <w:b/>
                <w:bCs/>
                <w:szCs w:val="24"/>
              </w:rPr>
              <w:t>Ă</w:t>
            </w:r>
            <w:r w:rsidR="00D44BBF">
              <w:rPr>
                <w:rFonts w:ascii="Calibri" w:hAnsi="Calibri" w:cs="Calibri"/>
                <w:b/>
                <w:bCs/>
                <w:szCs w:val="24"/>
              </w:rPr>
              <w:t xml:space="preserve"> </w:t>
            </w:r>
            <w:r w:rsidR="00430C3C">
              <w:rPr>
                <w:rFonts w:ascii="Calibri" w:hAnsi="Calibri" w:cs="Calibri"/>
                <w:b/>
                <w:bCs/>
                <w:szCs w:val="24"/>
              </w:rPr>
              <w:t>Ș</w:t>
            </w:r>
            <w:r w:rsidR="00D44BBF">
              <w:rPr>
                <w:rFonts w:ascii="Calibri" w:hAnsi="Calibri" w:cs="Calibri"/>
                <w:b/>
                <w:bCs/>
                <w:szCs w:val="24"/>
              </w:rPr>
              <w:t>I FINANCIAR</w:t>
            </w:r>
            <w:r w:rsidR="00430C3C">
              <w:rPr>
                <w:rFonts w:ascii="Calibri" w:hAnsi="Calibri" w:cs="Calibri"/>
                <w:b/>
                <w:bCs/>
                <w:szCs w:val="24"/>
              </w:rPr>
              <w:t>Ă</w:t>
            </w:r>
          </w:p>
        </w:tc>
      </w:tr>
      <w:tr w:rsidR="00D44BBF" w14:paraId="1AF4C872" w14:textId="2FE97434" w:rsidTr="00430C3C">
        <w:trPr>
          <w:tblHeader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E871F" w14:textId="77777777" w:rsidR="00D44BBF" w:rsidRDefault="00D44BBF">
            <w:pPr>
              <w:spacing w:before="60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 xml:space="preserve">Nr. </w:t>
            </w:r>
            <w:proofErr w:type="spellStart"/>
            <w:r>
              <w:rPr>
                <w:rFonts w:ascii="Calibri" w:hAnsi="Calibri" w:cs="Calibri"/>
                <w:b/>
                <w:bCs/>
                <w:szCs w:val="24"/>
              </w:rPr>
              <w:t>Crt</w:t>
            </w:r>
            <w:proofErr w:type="spellEnd"/>
            <w:r>
              <w:rPr>
                <w:rFonts w:ascii="Calibri" w:hAnsi="Calibri" w:cs="Calibri"/>
                <w:b/>
                <w:bCs/>
                <w:szCs w:val="24"/>
              </w:rPr>
              <w:t xml:space="preserve">. 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29618" w14:textId="77777777" w:rsidR="00D44BBF" w:rsidRDefault="00D44BBF">
            <w:pPr>
              <w:spacing w:before="60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CRITERIU/SUBCRITERIU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4C480" w14:textId="667E777F" w:rsidR="00D44BBF" w:rsidRDefault="00D44BBF">
            <w:pPr>
              <w:tabs>
                <w:tab w:val="left" w:pos="3360"/>
              </w:tabs>
              <w:spacing w:before="60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Cs w:val="24"/>
              </w:rPr>
              <w:t>Punctaj</w:t>
            </w:r>
            <w:proofErr w:type="spellEnd"/>
            <w:r>
              <w:rPr>
                <w:rFonts w:ascii="Calibri" w:hAnsi="Calibri" w:cs="Calibri"/>
                <w:b/>
                <w:bCs/>
                <w:szCs w:val="24"/>
              </w:rPr>
              <w:t xml:space="preserve"> max.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33BAB" w14:textId="599C1C88" w:rsidR="00D44BBF" w:rsidRDefault="00D44BBF">
            <w:pPr>
              <w:tabs>
                <w:tab w:val="left" w:pos="3360"/>
              </w:tabs>
              <w:spacing w:before="60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Cs w:val="24"/>
              </w:rPr>
              <w:t>Punctaj</w:t>
            </w:r>
            <w:proofErr w:type="spellEnd"/>
            <w:r>
              <w:rPr>
                <w:rFonts w:ascii="Calibri" w:hAnsi="Calibri" w:cs="Calibri"/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Cs w:val="24"/>
              </w:rPr>
              <w:t>obținut</w:t>
            </w:r>
            <w:proofErr w:type="spellEnd"/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A5DEB" w14:textId="08734F4B" w:rsidR="00D44BBF" w:rsidRDefault="00D44BBF">
            <w:pPr>
              <w:tabs>
                <w:tab w:val="left" w:pos="3360"/>
              </w:tabs>
              <w:spacing w:before="60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 xml:space="preserve">Ce se </w:t>
            </w:r>
            <w:proofErr w:type="spellStart"/>
            <w:r>
              <w:rPr>
                <w:rFonts w:ascii="Calibri" w:hAnsi="Calibri" w:cs="Calibri"/>
                <w:b/>
                <w:bCs/>
                <w:szCs w:val="24"/>
              </w:rPr>
              <w:t>verifică</w:t>
            </w:r>
            <w:proofErr w:type="spellEnd"/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BCB34" w14:textId="7FEA0B6B" w:rsidR="00D44BBF" w:rsidRDefault="00D44BBF">
            <w:pPr>
              <w:tabs>
                <w:tab w:val="left" w:pos="3360"/>
              </w:tabs>
              <w:spacing w:before="60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Cs w:val="24"/>
              </w:rPr>
              <w:t>Observații</w:t>
            </w:r>
            <w:proofErr w:type="spellEnd"/>
          </w:p>
        </w:tc>
      </w:tr>
      <w:tr w:rsidR="00D44BBF" w14:paraId="7A478F79" w14:textId="074F5B57" w:rsidTr="00D44BBF">
        <w:tc>
          <w:tcPr>
            <w:tcW w:w="7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7EA"/>
            <w:hideMark/>
          </w:tcPr>
          <w:p w14:paraId="3BBA6F2B" w14:textId="77777777" w:rsidR="00D44BBF" w:rsidRDefault="00D44BBF" w:rsidP="00D44BBF">
            <w:pPr>
              <w:pStyle w:val="ListParagraph"/>
              <w:numPr>
                <w:ilvl w:val="0"/>
                <w:numId w:val="36"/>
              </w:numPr>
              <w:spacing w:before="60" w:after="120" w:line="256" w:lineRule="auto"/>
              <w:ind w:left="499" w:hanging="357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CALITATEA SI COERENȚA PROIECTULUI – MAX 70 pct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7EA"/>
          </w:tcPr>
          <w:p w14:paraId="55247146" w14:textId="77777777" w:rsidR="00D44BBF" w:rsidRPr="00D44BBF" w:rsidRDefault="00D44BBF" w:rsidP="00D44BBF">
            <w:pPr>
              <w:spacing w:before="60" w:after="120" w:line="256" w:lineRule="auto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A7EA"/>
          </w:tcPr>
          <w:p w14:paraId="0A6FDD18" w14:textId="77777777" w:rsidR="00D44BBF" w:rsidRPr="00D44BBF" w:rsidRDefault="00D44BBF" w:rsidP="00D44BBF">
            <w:pPr>
              <w:spacing w:before="60" w:after="120" w:line="256" w:lineRule="auto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</w:tr>
      <w:tr w:rsidR="00D44BBF" w14:paraId="0DEAF19E" w14:textId="008195F3" w:rsidTr="00430C3C">
        <w:trPr>
          <w:trHeight w:val="872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80068" w14:textId="77777777" w:rsidR="00D44BBF" w:rsidRDefault="00D44BBF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1.1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45B8B" w14:textId="3735FAF0" w:rsidR="00D44BBF" w:rsidRDefault="00D44BBF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  <w:proofErr w:type="spellStart"/>
            <w:r>
              <w:rPr>
                <w:rFonts w:ascii="Calibri" w:hAnsi="Calibri" w:cs="Calibri"/>
                <w:szCs w:val="24"/>
              </w:rPr>
              <w:t>Exist</w:t>
            </w:r>
            <w:r w:rsidR="00430C3C">
              <w:rPr>
                <w:rFonts w:ascii="Calibri" w:hAnsi="Calibri" w:cs="Calibri"/>
                <w:szCs w:val="24"/>
              </w:rPr>
              <w:t>ă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o </w:t>
            </w:r>
            <w:proofErr w:type="spellStart"/>
            <w:r>
              <w:rPr>
                <w:rFonts w:ascii="Calibri" w:hAnsi="Calibri" w:cs="Calibri"/>
                <w:szCs w:val="24"/>
              </w:rPr>
              <w:t>coresponden</w:t>
            </w:r>
            <w:r w:rsidR="00430C3C">
              <w:rPr>
                <w:rFonts w:ascii="Calibri" w:hAnsi="Calibri" w:cs="Calibri"/>
                <w:szCs w:val="24"/>
              </w:rPr>
              <w:t>ță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clar</w:t>
            </w:r>
            <w:r w:rsidR="00430C3C">
              <w:rPr>
                <w:rFonts w:ascii="Calibri" w:hAnsi="Calibri" w:cs="Calibri"/>
                <w:szCs w:val="24"/>
              </w:rPr>
              <w:t>ă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="00430C3C">
              <w:rPr>
                <w:rFonts w:ascii="Calibri" w:hAnsi="Calibri" w:cs="Calibri"/>
                <w:szCs w:val="24"/>
              </w:rPr>
              <w:t>î</w:t>
            </w:r>
            <w:r>
              <w:rPr>
                <w:rFonts w:ascii="Calibri" w:hAnsi="Calibri" w:cs="Calibri"/>
                <w:szCs w:val="24"/>
              </w:rPr>
              <w:t>ntre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obiectivele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Cs w:val="24"/>
              </w:rPr>
              <w:t>activit</w:t>
            </w:r>
            <w:r w:rsidR="00430C3C">
              <w:rPr>
                <w:rFonts w:ascii="Calibri" w:hAnsi="Calibri" w:cs="Calibri"/>
                <w:szCs w:val="24"/>
              </w:rPr>
              <w:t>ăț</w:t>
            </w:r>
            <w:r>
              <w:rPr>
                <w:rFonts w:ascii="Calibri" w:hAnsi="Calibri" w:cs="Calibri"/>
                <w:szCs w:val="24"/>
              </w:rPr>
              <w:t>ile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="00430C3C">
              <w:rPr>
                <w:rFonts w:ascii="Calibri" w:hAnsi="Calibri" w:cs="Calibri"/>
                <w:szCs w:val="24"/>
              </w:rPr>
              <w:t>ș</w:t>
            </w:r>
            <w:r>
              <w:rPr>
                <w:rFonts w:ascii="Calibri" w:hAnsi="Calibri" w:cs="Calibri"/>
                <w:szCs w:val="24"/>
              </w:rPr>
              <w:t>i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rezultatele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proiectului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89B18" w14:textId="77777777" w:rsidR="00D44BBF" w:rsidRDefault="00D44BBF">
            <w:pPr>
              <w:spacing w:before="60"/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20 pct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0AB5D" w14:textId="77777777" w:rsidR="00D44BBF" w:rsidRDefault="00D44BBF" w:rsidP="00D44BBF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9AA1" w14:textId="09103C7D" w:rsidR="00D44BBF" w:rsidRDefault="00D44BBF" w:rsidP="00D44BBF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  <w:r w:rsidRPr="00D44BBF">
              <w:rPr>
                <w:rFonts w:ascii="Calibri" w:hAnsi="Calibri" w:cs="Calibri"/>
                <w:szCs w:val="24"/>
              </w:rPr>
              <w:t xml:space="preserve">Se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verific</w:t>
            </w:r>
            <w:r w:rsidR="00430C3C">
              <w:rPr>
                <w:rFonts w:ascii="Calibri" w:hAnsi="Calibri" w:cs="Calibri"/>
                <w:szCs w:val="24"/>
              </w:rPr>
              <w:t>ă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urmatoarele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sec</w:t>
            </w:r>
            <w:r w:rsidR="00430C3C">
              <w:rPr>
                <w:rFonts w:ascii="Calibri" w:hAnsi="Calibri" w:cs="Calibri"/>
                <w:szCs w:val="24"/>
              </w:rPr>
              <w:t>ț</w:t>
            </w:r>
            <w:r w:rsidRPr="00D44BBF">
              <w:rPr>
                <w:rFonts w:ascii="Calibri" w:hAnsi="Calibri" w:cs="Calibri"/>
                <w:szCs w:val="24"/>
              </w:rPr>
              <w:t>iuni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din CF: </w:t>
            </w:r>
          </w:p>
          <w:p w14:paraId="206D9673" w14:textId="6673AB29" w:rsidR="00D44BBF" w:rsidRPr="00D44BBF" w:rsidRDefault="00D44BBF" w:rsidP="00D44BBF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  <w:proofErr w:type="spellStart"/>
            <w:r w:rsidRPr="00D44BBF">
              <w:rPr>
                <w:rFonts w:ascii="Calibri" w:hAnsi="Calibri" w:cs="Calibri"/>
                <w:szCs w:val="24"/>
              </w:rPr>
              <w:t>Obiective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generale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,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obiective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specifice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,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rezultate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asteptate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,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activit</w:t>
            </w:r>
            <w:r w:rsidR="00430C3C">
              <w:rPr>
                <w:rFonts w:ascii="Calibri" w:hAnsi="Calibri" w:cs="Calibri"/>
                <w:szCs w:val="24"/>
              </w:rPr>
              <w:t>ăț</w:t>
            </w:r>
            <w:r w:rsidRPr="00D44BBF">
              <w:rPr>
                <w:rFonts w:ascii="Calibri" w:hAnsi="Calibri" w:cs="Calibri"/>
                <w:szCs w:val="24"/>
              </w:rPr>
              <w:t>i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previzionate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,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perioada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de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implementare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,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indicatori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de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realizare</w:t>
            </w:r>
            <w:proofErr w:type="spellEnd"/>
            <w:r w:rsidR="00430C3C">
              <w:rPr>
                <w:rFonts w:ascii="Calibri" w:hAnsi="Calibri" w:cs="Calibri"/>
                <w:szCs w:val="24"/>
              </w:rPr>
              <w:t>.</w:t>
            </w:r>
          </w:p>
          <w:p w14:paraId="27318695" w14:textId="7352A86B" w:rsidR="00D44BBF" w:rsidRPr="00D44BBF" w:rsidRDefault="00D44BBF" w:rsidP="00D44BBF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  <w:proofErr w:type="spellStart"/>
            <w:r w:rsidRPr="00D44BBF">
              <w:rPr>
                <w:rFonts w:ascii="Calibri" w:hAnsi="Calibri" w:cs="Calibri"/>
                <w:szCs w:val="24"/>
              </w:rPr>
              <w:t>Activitățile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și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măsurile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operaționale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>/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organizaționale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(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pregătire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,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lastRenderedPageBreak/>
              <w:t>implementare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,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monitorizare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control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și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informare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>/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copmunicare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) definite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în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CF sunt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subscrise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acțiunilor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definite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în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Programul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BI 2021-2027,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Prioritatea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8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și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se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regăsesc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în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rezultatele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așteptate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conform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Ghidului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Solicitantului</w:t>
            </w:r>
            <w:proofErr w:type="spellEnd"/>
            <w:r>
              <w:rPr>
                <w:rFonts w:ascii="Calibri" w:hAnsi="Calibri" w:cs="Calibri"/>
                <w:szCs w:val="24"/>
              </w:rPr>
              <w:t>.</w:t>
            </w:r>
          </w:p>
          <w:p w14:paraId="3204BC93" w14:textId="77777777" w:rsidR="00D44BBF" w:rsidRPr="00D44BBF" w:rsidRDefault="00D44BBF" w:rsidP="00D44BBF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  <w:proofErr w:type="spellStart"/>
            <w:r w:rsidRPr="00D44BBF">
              <w:rPr>
                <w:rFonts w:ascii="Calibri" w:hAnsi="Calibri" w:cs="Calibri"/>
                <w:szCs w:val="24"/>
              </w:rPr>
              <w:t>Activitățile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includ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minim:</w:t>
            </w:r>
          </w:p>
          <w:p w14:paraId="7AC320F3" w14:textId="3A8E2BBB" w:rsidR="00D44BBF" w:rsidRPr="00D44BBF" w:rsidRDefault="00D44BBF" w:rsidP="00D44BBF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  <w:r w:rsidRPr="00D44BBF">
              <w:rPr>
                <w:rFonts w:ascii="Calibri" w:hAnsi="Calibri" w:cs="Calibri"/>
                <w:szCs w:val="24"/>
              </w:rPr>
              <w:t>-</w:t>
            </w:r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activității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de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evaluare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tehnică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și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financiară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</w:t>
            </w:r>
            <w:proofErr w:type="gramStart"/>
            <w:r w:rsidRPr="00D44BBF">
              <w:rPr>
                <w:rFonts w:ascii="Calibri" w:hAnsi="Calibri" w:cs="Calibri"/>
                <w:szCs w:val="24"/>
              </w:rPr>
              <w:t>a</w:t>
            </w:r>
            <w:proofErr w:type="gramEnd"/>
            <w:r w:rsidRPr="00D44BBF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apelurilor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de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proiecte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din PR BI</w:t>
            </w:r>
            <w:r w:rsidR="00430C3C">
              <w:rPr>
                <w:rFonts w:ascii="Calibri" w:hAnsi="Calibri" w:cs="Calibri"/>
                <w:szCs w:val="24"/>
              </w:rPr>
              <w:t>;</w:t>
            </w:r>
          </w:p>
          <w:p w14:paraId="2AD40A68" w14:textId="2E382272" w:rsidR="00D44BBF" w:rsidRPr="00D44BBF" w:rsidRDefault="00D44BBF" w:rsidP="00D44BBF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  <w:r w:rsidRPr="00D44BBF">
              <w:rPr>
                <w:rFonts w:ascii="Calibri" w:hAnsi="Calibri" w:cs="Calibri"/>
                <w:szCs w:val="24"/>
              </w:rPr>
              <w:t>-</w:t>
            </w:r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susținerea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a 90 ENI</w:t>
            </w:r>
            <w:r w:rsidR="00430C3C">
              <w:rPr>
                <w:rFonts w:ascii="Calibri" w:hAnsi="Calibri" w:cs="Calibri"/>
                <w:szCs w:val="24"/>
              </w:rPr>
              <w:t>;</w:t>
            </w:r>
          </w:p>
          <w:p w14:paraId="35514166" w14:textId="77777777" w:rsidR="00350CE7" w:rsidRDefault="00D44BBF" w:rsidP="00D44BBF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  <w:r w:rsidRPr="00D44BBF">
              <w:rPr>
                <w:rFonts w:ascii="Calibri" w:hAnsi="Calibri" w:cs="Calibri"/>
                <w:szCs w:val="24"/>
              </w:rPr>
              <w:t>-</w:t>
            </w:r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elaborarea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Strategiei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de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Comunicare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și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a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Planurilor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Anuale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de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Comunicare</w:t>
            </w:r>
            <w:proofErr w:type="spellEnd"/>
            <w:r w:rsidR="00350CE7">
              <w:rPr>
                <w:rFonts w:ascii="Calibri" w:hAnsi="Calibri" w:cs="Calibri"/>
                <w:szCs w:val="24"/>
              </w:rPr>
              <w:t xml:space="preserve"> </w:t>
            </w:r>
          </w:p>
          <w:p w14:paraId="23A002A3" w14:textId="0946B28F" w:rsidR="00D44BBF" w:rsidRPr="00D44BBF" w:rsidRDefault="00350CE7" w:rsidP="00D44BBF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-</w:t>
            </w:r>
            <w:proofErr w:type="spellStart"/>
            <w:r w:rsidR="00D44BBF" w:rsidRPr="00D44BBF">
              <w:rPr>
                <w:rFonts w:ascii="Calibri" w:hAnsi="Calibri" w:cs="Calibri"/>
                <w:szCs w:val="24"/>
              </w:rPr>
              <w:t>elaborarea</w:t>
            </w:r>
            <w:proofErr w:type="spellEnd"/>
            <w:r w:rsidR="00D44BBF" w:rsidRPr="00D44BBF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="00D44BBF" w:rsidRPr="00D44BBF">
              <w:rPr>
                <w:rFonts w:ascii="Calibri" w:hAnsi="Calibri" w:cs="Calibri"/>
                <w:szCs w:val="24"/>
              </w:rPr>
              <w:t>Strategiei</w:t>
            </w:r>
            <w:proofErr w:type="spellEnd"/>
            <w:r w:rsidR="00D44BBF" w:rsidRPr="00D44BBF">
              <w:rPr>
                <w:rFonts w:ascii="Calibri" w:hAnsi="Calibri" w:cs="Calibri"/>
                <w:szCs w:val="24"/>
              </w:rPr>
              <w:t xml:space="preserve"> de AT</w:t>
            </w:r>
            <w:r w:rsidR="00430C3C">
              <w:rPr>
                <w:rFonts w:ascii="Calibri" w:hAnsi="Calibri" w:cs="Calibri"/>
                <w:szCs w:val="24"/>
              </w:rPr>
              <w:t>;</w:t>
            </w:r>
          </w:p>
          <w:p w14:paraId="4C91EC4C" w14:textId="7E7A205A" w:rsidR="00D44BBF" w:rsidRPr="00D44BBF" w:rsidRDefault="00D44BBF" w:rsidP="00D44BBF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  <w:r w:rsidRPr="00D44BBF">
              <w:rPr>
                <w:rFonts w:ascii="Calibri" w:hAnsi="Calibri" w:cs="Calibri"/>
                <w:szCs w:val="24"/>
              </w:rPr>
              <w:t>-</w:t>
            </w:r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elaborarea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Planului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de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Evaluare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a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Programului</w:t>
            </w:r>
            <w:proofErr w:type="spellEnd"/>
            <w:r w:rsidR="00430C3C">
              <w:rPr>
                <w:rFonts w:ascii="Calibri" w:hAnsi="Calibri" w:cs="Calibri"/>
                <w:szCs w:val="24"/>
              </w:rPr>
              <w:t>;</w:t>
            </w:r>
          </w:p>
          <w:p w14:paraId="15230B95" w14:textId="65291F0E" w:rsidR="00D44BBF" w:rsidRPr="00D44BBF" w:rsidRDefault="00D44BBF" w:rsidP="00D44BBF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  <w:r w:rsidRPr="00D44BBF">
              <w:rPr>
                <w:rFonts w:ascii="Calibri" w:hAnsi="Calibri" w:cs="Calibri"/>
                <w:szCs w:val="24"/>
              </w:rPr>
              <w:t>-</w:t>
            </w:r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alte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activități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de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pregătire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a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funcționalității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și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eficienței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="00350CE7">
              <w:rPr>
                <w:rFonts w:ascii="Calibri" w:hAnsi="Calibri" w:cs="Calibri"/>
                <w:szCs w:val="24"/>
              </w:rPr>
              <w:t>s</w:t>
            </w:r>
            <w:r w:rsidRPr="00D44BBF">
              <w:rPr>
                <w:rFonts w:ascii="Calibri" w:hAnsi="Calibri" w:cs="Calibri"/>
                <w:szCs w:val="24"/>
              </w:rPr>
              <w:t>istemului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de management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și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control al AM</w:t>
            </w:r>
            <w:r w:rsidR="00430C3C">
              <w:rPr>
                <w:rFonts w:ascii="Calibri" w:hAnsi="Calibri" w:cs="Calibri"/>
                <w:szCs w:val="24"/>
              </w:rPr>
              <w:t>;</w:t>
            </w:r>
          </w:p>
          <w:p w14:paraId="7AF56C2E" w14:textId="7D4F020D" w:rsidR="00D44BBF" w:rsidRDefault="00D44BBF" w:rsidP="00D44BBF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  <w:r w:rsidRPr="00D44BBF">
              <w:rPr>
                <w:rFonts w:ascii="Calibri" w:hAnsi="Calibri" w:cs="Calibri"/>
                <w:szCs w:val="24"/>
              </w:rPr>
              <w:t>-</w:t>
            </w:r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activități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de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sprijin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pentru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susținerea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D44BBF">
              <w:rPr>
                <w:rFonts w:ascii="Calibri" w:hAnsi="Calibri" w:cs="Calibri"/>
                <w:szCs w:val="24"/>
              </w:rPr>
              <w:t>închiderii</w:t>
            </w:r>
            <w:proofErr w:type="spellEnd"/>
            <w:r w:rsidRPr="00D44BBF">
              <w:rPr>
                <w:rFonts w:ascii="Calibri" w:hAnsi="Calibri" w:cs="Calibri"/>
                <w:szCs w:val="24"/>
              </w:rPr>
              <w:t xml:space="preserve"> POR 2014-2020</w:t>
            </w:r>
            <w:r w:rsidR="00430C3C">
              <w:rPr>
                <w:rFonts w:ascii="Calibri" w:hAnsi="Calibri" w:cs="Calibri"/>
                <w:szCs w:val="24"/>
              </w:rPr>
              <w:t>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2F8C" w14:textId="77777777" w:rsidR="00D44BBF" w:rsidRDefault="00D44BBF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</w:p>
        </w:tc>
      </w:tr>
      <w:tr w:rsidR="00D44BBF" w14:paraId="6F5A2DE6" w14:textId="7FC6BE09" w:rsidTr="00430C3C">
        <w:trPr>
          <w:trHeight w:val="621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40448" w14:textId="77777777" w:rsidR="00D44BBF" w:rsidRDefault="00D44BBF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lastRenderedPageBreak/>
              <w:t>1.2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4F562" w14:textId="77777777" w:rsidR="00D44BBF" w:rsidRDefault="00D44BBF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  <w:proofErr w:type="spellStart"/>
            <w:r>
              <w:rPr>
                <w:rFonts w:ascii="Calibri" w:hAnsi="Calibri" w:cs="Calibri"/>
                <w:szCs w:val="24"/>
              </w:rPr>
              <w:t>Calendarul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szCs w:val="24"/>
              </w:rPr>
              <w:t>implementare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al </w:t>
            </w:r>
            <w:proofErr w:type="spellStart"/>
            <w:r>
              <w:rPr>
                <w:rFonts w:ascii="Calibri" w:hAnsi="Calibri" w:cs="Calibri"/>
                <w:szCs w:val="24"/>
              </w:rPr>
              <w:t>proiectului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este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realist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65F0E" w14:textId="77777777" w:rsidR="00D44BBF" w:rsidRDefault="00D44BBF">
            <w:pPr>
              <w:spacing w:before="60"/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20 pct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98D9B" w14:textId="2CEC6ACF" w:rsidR="00D44BBF" w:rsidRDefault="00D44BBF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2DE6F" w14:textId="76C4C62F" w:rsidR="00430C3C" w:rsidRPr="00430C3C" w:rsidRDefault="00430C3C" w:rsidP="00430C3C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  <w:proofErr w:type="spellStart"/>
            <w:r w:rsidRPr="00430C3C">
              <w:rPr>
                <w:rFonts w:ascii="Calibri" w:hAnsi="Calibri" w:cs="Calibri"/>
                <w:szCs w:val="24"/>
              </w:rPr>
              <w:t>Respectarea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prevederilor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specifice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apelului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din </w:t>
            </w:r>
            <w:proofErr w:type="spellStart"/>
            <w:r>
              <w:rPr>
                <w:rFonts w:ascii="Calibri" w:hAnsi="Calibri" w:cs="Calibri"/>
                <w:szCs w:val="24"/>
              </w:rPr>
              <w:t>G</w:t>
            </w:r>
            <w:r w:rsidRPr="00430C3C">
              <w:rPr>
                <w:rFonts w:ascii="Calibri" w:hAnsi="Calibri" w:cs="Calibri"/>
                <w:szCs w:val="24"/>
              </w:rPr>
              <w:t>hidul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S</w:t>
            </w:r>
            <w:r w:rsidRPr="00430C3C">
              <w:rPr>
                <w:rFonts w:ascii="Calibri" w:hAnsi="Calibri" w:cs="Calibri"/>
                <w:szCs w:val="24"/>
              </w:rPr>
              <w:t>olicitantului</w:t>
            </w:r>
            <w:proofErr w:type="spellEnd"/>
          </w:p>
          <w:p w14:paraId="3613F2B8" w14:textId="79E263BA" w:rsidR="00D44BBF" w:rsidRDefault="00430C3C" w:rsidP="00430C3C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  <w:proofErr w:type="spellStart"/>
            <w:r w:rsidRPr="00430C3C">
              <w:rPr>
                <w:rFonts w:ascii="Calibri" w:hAnsi="Calibri" w:cs="Calibri"/>
                <w:szCs w:val="24"/>
              </w:rPr>
              <w:t>Calendarul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de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implementare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al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activităților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este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corelat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cu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termenele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limită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pentru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aprobarea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>/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prezentarea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documentelor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către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CE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și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>/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sau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CM, precum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și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cu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calendarul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de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lansare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al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apelurilor</w:t>
            </w:r>
            <w:proofErr w:type="spellEnd"/>
            <w:r>
              <w:rPr>
                <w:rFonts w:ascii="Calibri" w:hAnsi="Calibri" w:cs="Calibri"/>
                <w:szCs w:val="24"/>
              </w:rPr>
              <w:t>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5631B" w14:textId="77777777" w:rsidR="00D44BBF" w:rsidRDefault="00D44BBF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</w:p>
        </w:tc>
      </w:tr>
      <w:tr w:rsidR="00D44BBF" w14:paraId="0A8AB548" w14:textId="6067B263" w:rsidTr="00430C3C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FD267" w14:textId="77777777" w:rsidR="00D44BBF" w:rsidRDefault="00D44BBF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1.3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7BF05" w14:textId="77777777" w:rsidR="00D44BBF" w:rsidRDefault="00D44BBF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Au </w:t>
            </w:r>
            <w:proofErr w:type="spellStart"/>
            <w:r>
              <w:rPr>
                <w:rFonts w:ascii="Calibri" w:hAnsi="Calibri" w:cs="Calibri"/>
                <w:szCs w:val="24"/>
              </w:rPr>
              <w:t>fost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identificate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riscurile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relevante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legate de </w:t>
            </w:r>
            <w:proofErr w:type="spellStart"/>
            <w:r>
              <w:rPr>
                <w:rFonts w:ascii="Calibri" w:hAnsi="Calibri" w:cs="Calibri"/>
                <w:szCs w:val="24"/>
              </w:rPr>
              <w:t>implementarea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proiectului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și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măsurile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szCs w:val="24"/>
              </w:rPr>
              <w:t>reducere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și</w:t>
            </w:r>
            <w:proofErr w:type="spellEnd"/>
            <w:r>
              <w:rPr>
                <w:rFonts w:ascii="Calibri" w:hAnsi="Calibri" w:cs="Calibri"/>
                <w:szCs w:val="24"/>
              </w:rPr>
              <w:t>/</w:t>
            </w:r>
            <w:proofErr w:type="spellStart"/>
            <w:r>
              <w:rPr>
                <w:rFonts w:ascii="Calibri" w:hAnsi="Calibri" w:cs="Calibri"/>
                <w:szCs w:val="24"/>
              </w:rPr>
              <w:t>sau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contracararea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acestora</w:t>
            </w:r>
            <w:proofErr w:type="spellEnd"/>
            <w:r>
              <w:rPr>
                <w:rFonts w:ascii="Calibri" w:hAnsi="Calibri" w:cs="Calibri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7D133" w14:textId="77777777" w:rsidR="00D44BBF" w:rsidRDefault="00D44BBF">
            <w:pPr>
              <w:spacing w:before="60"/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10 pct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20C32" w14:textId="04CA4BEA" w:rsidR="00D44BBF" w:rsidRDefault="00D44BBF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3F335" w14:textId="28B24CF1" w:rsidR="00D44BBF" w:rsidRDefault="00430C3C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  <w:r w:rsidRPr="00430C3C">
              <w:rPr>
                <w:rFonts w:ascii="Calibri" w:hAnsi="Calibri" w:cs="Calibri"/>
                <w:szCs w:val="24"/>
              </w:rPr>
              <w:t xml:space="preserve">Se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verifică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 w:cs="Calibri"/>
                <w:szCs w:val="24"/>
              </w:rPr>
              <w:t>secțiunea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”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Riscuri</w:t>
            </w:r>
            <w:proofErr w:type="spellEnd"/>
            <w:proofErr w:type="gramEnd"/>
            <w:r>
              <w:rPr>
                <w:rFonts w:ascii="Calibri" w:hAnsi="Calibri" w:cs="Calibri"/>
                <w:szCs w:val="24"/>
              </w:rPr>
              <w:t>”</w:t>
            </w:r>
            <w:r w:rsidRPr="00430C3C">
              <w:rPr>
                <w:rFonts w:ascii="Calibri" w:hAnsi="Calibri" w:cs="Calibri"/>
                <w:szCs w:val="24"/>
              </w:rPr>
              <w:t xml:space="preserve"> din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cererea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de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finanțare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. Se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urmărește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dacă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au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fost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identificate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riscurile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relevante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pentru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implementarea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proiectului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,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în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cazul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în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care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acestea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există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, precum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și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dacă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au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fost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stabilite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măsuri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potrivite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de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reducere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și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>/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sau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contracarare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gramStart"/>
            <w:r w:rsidRPr="00430C3C">
              <w:rPr>
                <w:rFonts w:ascii="Calibri" w:hAnsi="Calibri" w:cs="Calibri"/>
                <w:szCs w:val="24"/>
              </w:rPr>
              <w:t>a</w:t>
            </w:r>
            <w:proofErr w:type="gram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acestora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>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66EC" w14:textId="77777777" w:rsidR="00D44BBF" w:rsidRDefault="00D44BBF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</w:p>
        </w:tc>
      </w:tr>
      <w:tr w:rsidR="00D44BBF" w14:paraId="646DC757" w14:textId="20000EE1" w:rsidTr="00430C3C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939D7" w14:textId="77777777" w:rsidR="00D44BBF" w:rsidRDefault="00D44BBF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1.4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CA6CD" w14:textId="77777777" w:rsidR="00D44BBF" w:rsidRDefault="00D44BBF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  <w:proofErr w:type="spellStart"/>
            <w:r>
              <w:rPr>
                <w:rFonts w:ascii="Calibri" w:hAnsi="Calibri" w:cs="Calibri"/>
                <w:szCs w:val="24"/>
              </w:rPr>
              <w:t>Planul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szCs w:val="24"/>
              </w:rPr>
              <w:t>monitorizare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a </w:t>
            </w:r>
            <w:proofErr w:type="spellStart"/>
            <w:r>
              <w:rPr>
                <w:rFonts w:ascii="Calibri" w:hAnsi="Calibri" w:cs="Calibri"/>
                <w:szCs w:val="24"/>
              </w:rPr>
              <w:t>proiectului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depus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in </w:t>
            </w:r>
            <w:proofErr w:type="spellStart"/>
            <w:r>
              <w:rPr>
                <w:rFonts w:ascii="Calibri" w:hAnsi="Calibri" w:cs="Calibri"/>
                <w:szCs w:val="24"/>
              </w:rPr>
              <w:t>cadrul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CF </w:t>
            </w:r>
            <w:proofErr w:type="spellStart"/>
            <w:r>
              <w:rPr>
                <w:rFonts w:ascii="Calibri" w:hAnsi="Calibri" w:cs="Calibri"/>
                <w:szCs w:val="24"/>
              </w:rPr>
              <w:t>este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corelat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cu </w:t>
            </w:r>
            <w:proofErr w:type="spellStart"/>
            <w:r>
              <w:rPr>
                <w:rFonts w:ascii="Calibri" w:hAnsi="Calibri" w:cs="Calibri"/>
                <w:szCs w:val="24"/>
              </w:rPr>
              <w:t>planificarea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activitatilor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7DB12" w14:textId="77777777" w:rsidR="00D44BBF" w:rsidRDefault="00D44BBF">
            <w:pPr>
              <w:spacing w:before="60"/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10 pct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BF7CA" w14:textId="5FCEF2C6" w:rsidR="00D44BBF" w:rsidRDefault="00D44BBF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F8568" w14:textId="183CFBAC" w:rsidR="00D44BBF" w:rsidRDefault="00430C3C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Se </w:t>
            </w:r>
            <w:proofErr w:type="spellStart"/>
            <w:r>
              <w:rPr>
                <w:rFonts w:ascii="Calibri" w:hAnsi="Calibri" w:cs="Calibri"/>
                <w:szCs w:val="24"/>
              </w:rPr>
              <w:t>verifică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dacă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i</w:t>
            </w:r>
            <w:r w:rsidRPr="00430C3C">
              <w:rPr>
                <w:rFonts w:ascii="Calibri" w:hAnsi="Calibri" w:cs="Calibri"/>
                <w:szCs w:val="24"/>
              </w:rPr>
              <w:t>ndicatorii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de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etapă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definiți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in </w:t>
            </w:r>
            <w:proofErr w:type="spellStart"/>
            <w:r>
              <w:rPr>
                <w:rFonts w:ascii="Calibri" w:hAnsi="Calibri" w:cs="Calibri"/>
                <w:szCs w:val="24"/>
              </w:rPr>
              <w:t>planul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szCs w:val="24"/>
              </w:rPr>
              <w:t>monitorizare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reflectă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stadiul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implementării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activităților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definite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în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CF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și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progresul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în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atingerea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indicatorilor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de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realizare</w:t>
            </w:r>
            <w:proofErr w:type="spellEnd"/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7887C" w14:textId="77777777" w:rsidR="00D44BBF" w:rsidRDefault="00D44BBF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</w:p>
        </w:tc>
      </w:tr>
      <w:tr w:rsidR="00D44BBF" w14:paraId="0A64FB5B" w14:textId="7C4BC01B" w:rsidTr="00430C3C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52EF8" w14:textId="77777777" w:rsidR="00D44BBF" w:rsidRDefault="00D44BBF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1.5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7BC2F" w14:textId="00378233" w:rsidR="00D44BBF" w:rsidRDefault="00D44BBF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  <w:proofErr w:type="spellStart"/>
            <w:r>
              <w:rPr>
                <w:rFonts w:ascii="Calibri" w:hAnsi="Calibri" w:cs="Calibri"/>
                <w:szCs w:val="24"/>
              </w:rPr>
              <w:t>Proiectul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include </w:t>
            </w:r>
            <w:proofErr w:type="spellStart"/>
            <w:r>
              <w:rPr>
                <w:rFonts w:ascii="Calibri" w:hAnsi="Calibri" w:cs="Calibri"/>
                <w:szCs w:val="24"/>
              </w:rPr>
              <w:t>ac</w:t>
            </w:r>
            <w:r w:rsidR="00430C3C">
              <w:rPr>
                <w:rFonts w:ascii="Calibri" w:hAnsi="Calibri" w:cs="Calibri"/>
                <w:szCs w:val="24"/>
              </w:rPr>
              <w:t>ț</w:t>
            </w:r>
            <w:r>
              <w:rPr>
                <w:rFonts w:ascii="Calibri" w:hAnsi="Calibri" w:cs="Calibri"/>
                <w:szCs w:val="24"/>
              </w:rPr>
              <w:t>iuni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szCs w:val="24"/>
              </w:rPr>
              <w:t>preg</w:t>
            </w:r>
            <w:r w:rsidR="00430C3C">
              <w:rPr>
                <w:rFonts w:ascii="Calibri" w:hAnsi="Calibri" w:cs="Calibri"/>
                <w:szCs w:val="24"/>
              </w:rPr>
              <w:t>ă</w:t>
            </w:r>
            <w:r>
              <w:rPr>
                <w:rFonts w:ascii="Calibri" w:hAnsi="Calibri" w:cs="Calibri"/>
                <w:szCs w:val="24"/>
              </w:rPr>
              <w:t>tire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ale </w:t>
            </w:r>
            <w:proofErr w:type="spellStart"/>
            <w:r>
              <w:rPr>
                <w:rFonts w:ascii="Calibri" w:hAnsi="Calibri" w:cs="Calibri"/>
                <w:szCs w:val="24"/>
              </w:rPr>
              <w:t>primelor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versiuni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ale </w:t>
            </w:r>
            <w:proofErr w:type="spellStart"/>
            <w:r>
              <w:rPr>
                <w:rFonts w:ascii="Calibri" w:hAnsi="Calibri" w:cs="Calibri"/>
                <w:szCs w:val="24"/>
              </w:rPr>
              <w:t>documentelor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lastRenderedPageBreak/>
              <w:t>strategice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(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Strategia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>/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Planul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de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comunicare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;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Planul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de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Evaluare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;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Strategia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de AT/ACB ROADMAP)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B139D" w14:textId="77777777" w:rsidR="00D44BBF" w:rsidRDefault="00D44BBF">
            <w:pPr>
              <w:spacing w:before="60"/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lastRenderedPageBreak/>
              <w:t>10 pct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C6540" w14:textId="21447A90" w:rsidR="00D44BBF" w:rsidRDefault="00D44BBF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E7917" w14:textId="707EF048" w:rsidR="00D44BBF" w:rsidRDefault="00430C3C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  <w:r w:rsidRPr="00430C3C">
              <w:rPr>
                <w:rFonts w:ascii="Calibri" w:hAnsi="Calibri" w:cs="Calibri"/>
                <w:szCs w:val="24"/>
              </w:rPr>
              <w:t xml:space="preserve">Se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verifică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secțiunile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din CF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privind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rezultate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asteptate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și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activități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previzionate</w:t>
            </w:r>
            <w:proofErr w:type="spellEnd"/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5BB75" w14:textId="77777777" w:rsidR="00D44BBF" w:rsidRDefault="00D44BBF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</w:p>
        </w:tc>
      </w:tr>
      <w:tr w:rsidR="00430C3C" w14:paraId="575C7275" w14:textId="39C51D7E" w:rsidTr="00152647">
        <w:trPr>
          <w:trHeight w:val="311"/>
        </w:trPr>
        <w:tc>
          <w:tcPr>
            <w:tcW w:w="145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4FF"/>
            <w:hideMark/>
          </w:tcPr>
          <w:p w14:paraId="5A094822" w14:textId="39F27AD1" w:rsidR="00430C3C" w:rsidRDefault="00430C3C" w:rsidP="00430C3C">
            <w:pPr>
              <w:pStyle w:val="ListParagraph"/>
              <w:spacing w:before="60" w:after="120" w:line="256" w:lineRule="auto"/>
              <w:ind w:left="499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CALITATEA BUGETULUI - MAX 30 pct</w:t>
            </w:r>
          </w:p>
        </w:tc>
      </w:tr>
      <w:tr w:rsidR="00D44BBF" w14:paraId="0A16B01F" w14:textId="31213218" w:rsidTr="00430C3C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FE539" w14:textId="77777777" w:rsidR="00D44BBF" w:rsidRDefault="00D44BBF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2.1.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972B4" w14:textId="77777777" w:rsidR="00D44BBF" w:rsidRDefault="00D44BBF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  <w:proofErr w:type="spellStart"/>
            <w:r>
              <w:rPr>
                <w:rFonts w:ascii="Calibri" w:hAnsi="Calibri" w:cs="Calibri"/>
                <w:szCs w:val="24"/>
              </w:rPr>
              <w:t>Bugetul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este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complet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şi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corelat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cu </w:t>
            </w:r>
            <w:proofErr w:type="spellStart"/>
            <w:r>
              <w:rPr>
                <w:rFonts w:ascii="Calibri" w:hAnsi="Calibri" w:cs="Calibri"/>
                <w:szCs w:val="24"/>
              </w:rPr>
              <w:t>activitățile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prevăzute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, cu </w:t>
            </w:r>
            <w:proofErr w:type="spellStart"/>
            <w:r>
              <w:rPr>
                <w:rFonts w:ascii="Calibri" w:hAnsi="Calibri" w:cs="Calibri"/>
                <w:szCs w:val="24"/>
              </w:rPr>
              <w:t>rezultatele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anticipate, cu </w:t>
            </w:r>
            <w:proofErr w:type="spellStart"/>
            <w:r>
              <w:rPr>
                <w:rFonts w:ascii="Calibri" w:hAnsi="Calibri" w:cs="Calibri"/>
                <w:szCs w:val="24"/>
              </w:rPr>
              <w:t>planificarea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achiziţiilor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publice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249AC" w14:textId="77777777" w:rsidR="00D44BBF" w:rsidRDefault="00D44BBF">
            <w:pPr>
              <w:spacing w:before="60"/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10 pct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B876A" w14:textId="5B1E979D" w:rsidR="00D44BBF" w:rsidRDefault="00D44BBF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CBC51" w14:textId="1299AC8E" w:rsidR="00D44BBF" w:rsidRDefault="00430C3C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  <w:r w:rsidRPr="00430C3C">
              <w:rPr>
                <w:rFonts w:ascii="Calibri" w:hAnsi="Calibri" w:cs="Calibri"/>
                <w:szCs w:val="24"/>
              </w:rPr>
              <w:t xml:space="preserve">Se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verifică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justificarea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aferentă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fiecărei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cheltuieli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completată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la </w:t>
            </w:r>
            <w:proofErr w:type="spellStart"/>
            <w:proofErr w:type="gramStart"/>
            <w:r>
              <w:rPr>
                <w:rFonts w:ascii="Calibri" w:hAnsi="Calibri" w:cs="Calibri"/>
                <w:szCs w:val="24"/>
              </w:rPr>
              <w:t>secțiunea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r>
              <w:rPr>
                <w:rFonts w:ascii="Calibri" w:hAnsi="Calibri" w:cs="Calibri"/>
                <w:szCs w:val="24"/>
              </w:rPr>
              <w:t>”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Buget</w:t>
            </w:r>
            <w:proofErr w:type="spellEnd"/>
            <w:proofErr w:type="gramEnd"/>
            <w:r w:rsidRPr="00430C3C">
              <w:rPr>
                <w:rFonts w:ascii="Calibri" w:hAnsi="Calibri" w:cs="Calibri"/>
                <w:szCs w:val="24"/>
              </w:rPr>
              <w:t xml:space="preserve"> –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Activități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și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cheltuieli</w:t>
            </w:r>
            <w:proofErr w:type="spellEnd"/>
            <w:r w:rsidR="00350CE7">
              <w:rPr>
                <w:rFonts w:ascii="Calibri" w:hAnsi="Calibri" w:cs="Calibri"/>
                <w:szCs w:val="24"/>
              </w:rPr>
              <w:t>”</w:t>
            </w:r>
            <w:r w:rsidRPr="00430C3C">
              <w:rPr>
                <w:rFonts w:ascii="Calibri" w:hAnsi="Calibri" w:cs="Calibri"/>
                <w:szCs w:val="24"/>
              </w:rPr>
              <w:t xml:space="preserve"> din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cererea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de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finanțare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>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9237" w14:textId="77777777" w:rsidR="00D44BBF" w:rsidRDefault="00D44BBF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</w:p>
        </w:tc>
      </w:tr>
      <w:tr w:rsidR="00D44BBF" w14:paraId="7C4B74D8" w14:textId="42753D78" w:rsidTr="00430C3C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F5B19" w14:textId="77777777" w:rsidR="00D44BBF" w:rsidRDefault="00D44BBF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2.2.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68CA7" w14:textId="1891DEC0" w:rsidR="00D44BBF" w:rsidRDefault="00D44BBF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  <w:proofErr w:type="spellStart"/>
            <w:r>
              <w:rPr>
                <w:rFonts w:ascii="Calibri" w:hAnsi="Calibri" w:cs="Calibri"/>
                <w:szCs w:val="24"/>
              </w:rPr>
              <w:t>Cheltuielile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cuprinse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="00430C3C">
              <w:rPr>
                <w:rFonts w:ascii="Calibri" w:hAnsi="Calibri" w:cs="Calibri"/>
                <w:szCs w:val="24"/>
              </w:rPr>
              <w:t>î</w:t>
            </w:r>
            <w:r>
              <w:rPr>
                <w:rFonts w:ascii="Calibri" w:hAnsi="Calibri" w:cs="Calibri"/>
                <w:szCs w:val="24"/>
              </w:rPr>
              <w:t>n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bugetul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proiectului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sunt bine definite, </w:t>
            </w:r>
            <w:proofErr w:type="spellStart"/>
            <w:r>
              <w:rPr>
                <w:rFonts w:ascii="Calibri" w:hAnsi="Calibri" w:cs="Calibri"/>
                <w:szCs w:val="24"/>
              </w:rPr>
              <w:t>clare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Cs w:val="24"/>
              </w:rPr>
              <w:t>necesare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pentru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desfăşurarea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activităţilor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propuse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în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proiect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și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corelate cu </w:t>
            </w:r>
            <w:proofErr w:type="spellStart"/>
            <w:r>
              <w:rPr>
                <w:rFonts w:ascii="Calibri" w:hAnsi="Calibri" w:cs="Calibri"/>
                <w:szCs w:val="24"/>
              </w:rPr>
              <w:t>achizițiile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E897B" w14:textId="77777777" w:rsidR="00D44BBF" w:rsidRDefault="00D44BBF">
            <w:pPr>
              <w:spacing w:before="60"/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10 pct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3986E" w14:textId="3FAB4FCE" w:rsidR="00D44BBF" w:rsidRDefault="00D44BBF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8F8B6" w14:textId="77777777" w:rsidR="00430C3C" w:rsidRPr="00430C3C" w:rsidRDefault="00430C3C" w:rsidP="00430C3C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  <w:r w:rsidRPr="00430C3C">
              <w:rPr>
                <w:rFonts w:ascii="Calibri" w:hAnsi="Calibri" w:cs="Calibri"/>
                <w:szCs w:val="24"/>
              </w:rPr>
              <w:t xml:space="preserve">Se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verifică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următoarele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: </w:t>
            </w:r>
          </w:p>
          <w:p w14:paraId="265A2693" w14:textId="77777777" w:rsidR="00430C3C" w:rsidRPr="00430C3C" w:rsidRDefault="00430C3C" w:rsidP="00430C3C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  <w:r w:rsidRPr="00430C3C">
              <w:rPr>
                <w:rFonts w:ascii="Calibri" w:hAnsi="Calibri" w:cs="Calibri"/>
                <w:szCs w:val="24"/>
              </w:rPr>
              <w:t xml:space="preserve">a.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fiecare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cheltuială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este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încadrată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în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categoria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adecvată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>;</w:t>
            </w:r>
          </w:p>
          <w:p w14:paraId="6B86A1AD" w14:textId="77777777" w:rsidR="00430C3C" w:rsidRPr="00430C3C" w:rsidRDefault="00430C3C" w:rsidP="00430C3C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  <w:r w:rsidRPr="00430C3C">
              <w:rPr>
                <w:rFonts w:ascii="Calibri" w:hAnsi="Calibri" w:cs="Calibri"/>
                <w:szCs w:val="24"/>
              </w:rPr>
              <w:t xml:space="preserve">b.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costurile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eligibile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prevăzute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sunt explicate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corespunzător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,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în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cazul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în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care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acestea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sunt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diferite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de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cele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totale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; </w:t>
            </w:r>
          </w:p>
          <w:p w14:paraId="26F5669B" w14:textId="77777777" w:rsidR="00430C3C" w:rsidRPr="00430C3C" w:rsidRDefault="00430C3C" w:rsidP="00430C3C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  <w:r w:rsidRPr="00430C3C">
              <w:rPr>
                <w:rFonts w:ascii="Calibri" w:hAnsi="Calibri" w:cs="Calibri"/>
                <w:szCs w:val="24"/>
              </w:rPr>
              <w:t xml:space="preserve">c.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valoarea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eligibilă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gramStart"/>
            <w:r w:rsidRPr="00430C3C">
              <w:rPr>
                <w:rFonts w:ascii="Calibri" w:hAnsi="Calibri" w:cs="Calibri"/>
                <w:szCs w:val="24"/>
              </w:rPr>
              <w:t>a</w:t>
            </w:r>
            <w:proofErr w:type="gram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achizițiilor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prevăzute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la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funcția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Plan de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achiziții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în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cadrul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proiectului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sunt corelate cu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bugetul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eligibil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fără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TVA al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proiectului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; </w:t>
            </w:r>
          </w:p>
          <w:p w14:paraId="36471661" w14:textId="1B0D3088" w:rsidR="00D44BBF" w:rsidRDefault="00430C3C" w:rsidP="00430C3C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  <w:r w:rsidRPr="00430C3C">
              <w:rPr>
                <w:rFonts w:ascii="Calibri" w:hAnsi="Calibri" w:cs="Calibri"/>
                <w:szCs w:val="24"/>
              </w:rPr>
              <w:lastRenderedPageBreak/>
              <w:t xml:space="preserve">d. TVA-ul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aferent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cheltuielilor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eligibile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a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fost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calculat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corect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în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bugetul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eligibil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solicitat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,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în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funcție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și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de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declarația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atașată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la </w:t>
            </w:r>
            <w:proofErr w:type="spellStart"/>
            <w:proofErr w:type="gramStart"/>
            <w:r w:rsidRPr="00430C3C">
              <w:rPr>
                <w:rFonts w:ascii="Calibri" w:hAnsi="Calibri" w:cs="Calibri"/>
                <w:szCs w:val="24"/>
              </w:rPr>
              <w:t>funcția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r w:rsidR="00350CE7">
              <w:rPr>
                <w:rFonts w:ascii="Calibri" w:hAnsi="Calibri" w:cs="Calibri"/>
                <w:szCs w:val="24"/>
              </w:rPr>
              <w:t>”</w:t>
            </w:r>
            <w:r w:rsidRPr="00430C3C">
              <w:rPr>
                <w:rFonts w:ascii="Calibri" w:hAnsi="Calibri" w:cs="Calibri"/>
                <w:szCs w:val="24"/>
              </w:rPr>
              <w:t>Capacitate</w:t>
            </w:r>
            <w:proofErr w:type="gramEnd"/>
            <w:r w:rsidRPr="00430C3C">
              <w:rPr>
                <w:rFonts w:ascii="Calibri" w:hAnsi="Calibri" w:cs="Calibri"/>
                <w:szCs w:val="24"/>
              </w:rPr>
              <w:t xml:space="preserve"> solicitant</w:t>
            </w:r>
            <w:r w:rsidR="00350CE7">
              <w:rPr>
                <w:rFonts w:ascii="Calibri" w:hAnsi="Calibri" w:cs="Calibri"/>
                <w:szCs w:val="24"/>
              </w:rPr>
              <w:t>”</w:t>
            </w:r>
            <w:r w:rsidRPr="00430C3C">
              <w:rPr>
                <w:rFonts w:ascii="Calibri" w:hAnsi="Calibri" w:cs="Calibri"/>
                <w:szCs w:val="24"/>
              </w:rPr>
              <w:t xml:space="preserve">,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secțiunea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r w:rsidR="00350CE7">
              <w:rPr>
                <w:rFonts w:ascii="Calibri" w:hAnsi="Calibri" w:cs="Calibri"/>
                <w:szCs w:val="24"/>
              </w:rPr>
              <w:t>”</w:t>
            </w:r>
            <w:r w:rsidRPr="00430C3C">
              <w:rPr>
                <w:rFonts w:ascii="Calibri" w:hAnsi="Calibri" w:cs="Calibri"/>
                <w:szCs w:val="24"/>
              </w:rPr>
              <w:t xml:space="preserve">Capacitate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financiară</w:t>
            </w:r>
            <w:proofErr w:type="spellEnd"/>
            <w:r w:rsidR="00350CE7">
              <w:rPr>
                <w:rFonts w:ascii="Calibri" w:hAnsi="Calibri" w:cs="Calibri"/>
                <w:szCs w:val="24"/>
              </w:rPr>
              <w:t>”.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F73E" w14:textId="77777777" w:rsidR="00D44BBF" w:rsidRDefault="00D44BBF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</w:p>
        </w:tc>
      </w:tr>
      <w:tr w:rsidR="00D44BBF" w14:paraId="44083D1B" w14:textId="46F0C669" w:rsidTr="00430C3C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E8E35" w14:textId="77777777" w:rsidR="00D44BBF" w:rsidRDefault="00D44BBF">
            <w:pPr>
              <w:spacing w:before="60"/>
              <w:ind w:left="3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2.3.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7E51" w14:textId="77777777" w:rsidR="00D44BBF" w:rsidRDefault="00D44BBF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  <w:proofErr w:type="spellStart"/>
            <w:r>
              <w:rPr>
                <w:rFonts w:ascii="Calibri" w:hAnsi="Calibri" w:cs="Calibri"/>
                <w:szCs w:val="24"/>
              </w:rPr>
              <w:t>Cheltuielile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au </w:t>
            </w:r>
            <w:proofErr w:type="spellStart"/>
            <w:r>
              <w:rPr>
                <w:rFonts w:ascii="Calibri" w:hAnsi="Calibri" w:cs="Calibri"/>
                <w:szCs w:val="24"/>
              </w:rPr>
              <w:t>fost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corect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încadrate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în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categoria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celor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eligibile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și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neeligibile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Cs w:val="24"/>
              </w:rPr>
              <w:t>iar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pragurile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pentru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anumite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cheltuieli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eligibile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au </w:t>
            </w:r>
            <w:proofErr w:type="spellStart"/>
            <w:r>
              <w:rPr>
                <w:rFonts w:ascii="Calibri" w:hAnsi="Calibri" w:cs="Calibri"/>
                <w:szCs w:val="24"/>
              </w:rPr>
              <w:t>fost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respectate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conform </w:t>
            </w:r>
            <w:proofErr w:type="spellStart"/>
            <w:r>
              <w:rPr>
                <w:rFonts w:ascii="Calibri" w:hAnsi="Calibri" w:cs="Calibri"/>
                <w:szCs w:val="24"/>
              </w:rPr>
              <w:t>prevederilor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Ghidului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4"/>
              </w:rPr>
              <w:t>solicitantului</w:t>
            </w:r>
            <w:proofErr w:type="spellEnd"/>
            <w:r>
              <w:rPr>
                <w:rFonts w:ascii="Calibri" w:hAnsi="Calibri" w:cs="Calibri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4B506" w14:textId="77777777" w:rsidR="00D44BBF" w:rsidRDefault="00D44BBF">
            <w:pPr>
              <w:spacing w:before="60"/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10 pct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AA568" w14:textId="2A216FA6" w:rsidR="00D44BBF" w:rsidRDefault="00D44BBF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8EB8" w14:textId="77777777" w:rsidR="00430C3C" w:rsidRPr="00430C3C" w:rsidRDefault="00430C3C" w:rsidP="00430C3C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  <w:r w:rsidRPr="00430C3C">
              <w:rPr>
                <w:rFonts w:ascii="Calibri" w:hAnsi="Calibri" w:cs="Calibri"/>
                <w:szCs w:val="24"/>
              </w:rPr>
              <w:t xml:space="preserve">Se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verifică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dacă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: </w:t>
            </w:r>
          </w:p>
          <w:p w14:paraId="382B0DEC" w14:textId="1FC346E4" w:rsidR="00430C3C" w:rsidRPr="00430C3C" w:rsidRDefault="00430C3C" w:rsidP="00430C3C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  <w:r w:rsidRPr="00430C3C">
              <w:rPr>
                <w:rFonts w:ascii="Calibri" w:hAnsi="Calibri" w:cs="Calibri"/>
                <w:szCs w:val="24"/>
              </w:rPr>
              <w:t xml:space="preserve">a.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Cheltuielile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prevăzute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la </w:t>
            </w:r>
            <w:proofErr w:type="spellStart"/>
            <w:proofErr w:type="gramStart"/>
            <w:r w:rsidRPr="00430C3C">
              <w:rPr>
                <w:rFonts w:ascii="Calibri" w:hAnsi="Calibri" w:cs="Calibri"/>
                <w:szCs w:val="24"/>
              </w:rPr>
              <w:t>funcția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r w:rsidR="00350CE7">
              <w:rPr>
                <w:rFonts w:ascii="Calibri" w:hAnsi="Calibri" w:cs="Calibri"/>
                <w:szCs w:val="24"/>
              </w:rPr>
              <w:t>”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Buget</w:t>
            </w:r>
            <w:proofErr w:type="spellEnd"/>
            <w:proofErr w:type="gramEnd"/>
            <w:r w:rsidRPr="00430C3C">
              <w:rPr>
                <w:rFonts w:ascii="Calibri" w:hAnsi="Calibri" w:cs="Calibri"/>
                <w:szCs w:val="24"/>
              </w:rPr>
              <w:t xml:space="preserve"> –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Activități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și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cheltuieli</w:t>
            </w:r>
            <w:proofErr w:type="spellEnd"/>
            <w:r w:rsidR="00350CE7">
              <w:rPr>
                <w:rFonts w:ascii="Calibri" w:hAnsi="Calibri" w:cs="Calibri"/>
                <w:szCs w:val="24"/>
              </w:rPr>
              <w:t>”</w:t>
            </w:r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respectă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categoriile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și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pragurile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prevăzute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în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Ghidul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Solicitantului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. </w:t>
            </w:r>
          </w:p>
          <w:p w14:paraId="04987269" w14:textId="66C1F1D8" w:rsidR="00D44BBF" w:rsidRDefault="00430C3C" w:rsidP="00430C3C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  <w:r w:rsidRPr="00430C3C">
              <w:rPr>
                <w:rFonts w:ascii="Calibri" w:hAnsi="Calibri" w:cs="Calibri"/>
                <w:szCs w:val="24"/>
              </w:rPr>
              <w:t xml:space="preserve">b.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Bugetul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eligbil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solicitat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este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corect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calculat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,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fiind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direct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legat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 xml:space="preserve"> de </w:t>
            </w:r>
            <w:proofErr w:type="spellStart"/>
            <w:r w:rsidRPr="00430C3C">
              <w:rPr>
                <w:rFonts w:ascii="Calibri" w:hAnsi="Calibri" w:cs="Calibri"/>
                <w:szCs w:val="24"/>
              </w:rPr>
              <w:t>proiect</w:t>
            </w:r>
            <w:proofErr w:type="spellEnd"/>
            <w:r w:rsidRPr="00430C3C">
              <w:rPr>
                <w:rFonts w:ascii="Calibri" w:hAnsi="Calibri" w:cs="Calibri"/>
                <w:szCs w:val="24"/>
              </w:rPr>
              <w:t>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88F86" w14:textId="77777777" w:rsidR="00D44BBF" w:rsidRDefault="00D44BBF">
            <w:pPr>
              <w:spacing w:before="60"/>
              <w:jc w:val="both"/>
              <w:rPr>
                <w:rFonts w:ascii="Calibri" w:hAnsi="Calibri" w:cs="Calibri"/>
                <w:szCs w:val="24"/>
              </w:rPr>
            </w:pPr>
          </w:p>
        </w:tc>
      </w:tr>
    </w:tbl>
    <w:p w14:paraId="560BB9BB" w14:textId="3FC037C6" w:rsidR="00514416" w:rsidRPr="00073F46" w:rsidRDefault="00514416" w:rsidP="00430C3C">
      <w:pPr>
        <w:tabs>
          <w:tab w:val="left" w:pos="5004"/>
        </w:tabs>
        <w:rPr>
          <w:rFonts w:asciiTheme="minorHAnsi" w:hAnsiTheme="minorHAnsi" w:cstheme="minorHAnsi"/>
          <w:lang w:eastAsia="en-GB"/>
        </w:rPr>
      </w:pPr>
    </w:p>
    <w:p w14:paraId="581A085C" w14:textId="77777777" w:rsidR="00073F46" w:rsidRDefault="00073F46" w:rsidP="00073F46">
      <w:pPr>
        <w:spacing w:before="60"/>
        <w:jc w:val="both"/>
        <w:rPr>
          <w:rFonts w:ascii="Calibri" w:eastAsia="Calibri" w:hAnsi="Calibri" w:cs="Calibri"/>
          <w:sz w:val="16"/>
          <w:szCs w:val="16"/>
          <w:lang w:val="ro-RO"/>
        </w:rPr>
      </w:pPr>
    </w:p>
    <w:p w14:paraId="79BF89E9" w14:textId="77777777" w:rsidR="00073F46" w:rsidRPr="00F00712" w:rsidRDefault="00073F46" w:rsidP="00073F46">
      <w:pPr>
        <w:spacing w:before="60"/>
        <w:jc w:val="both"/>
        <w:rPr>
          <w:rFonts w:ascii="Calibri" w:eastAsia="Calibri" w:hAnsi="Calibri" w:cs="Calibri"/>
          <w:sz w:val="16"/>
          <w:szCs w:val="16"/>
          <w:lang w:val="ro-RO"/>
        </w:rPr>
      </w:pPr>
    </w:p>
    <w:p w14:paraId="5FBF936D" w14:textId="5387ACFD" w:rsidR="00073F46" w:rsidRDefault="00073F46" w:rsidP="00073F46">
      <w:pPr>
        <w:rPr>
          <w:rFonts w:asciiTheme="minorHAnsi" w:hAnsiTheme="minorHAnsi" w:cstheme="minorHAnsi"/>
          <w:b/>
          <w:bCs/>
          <w:color w:val="27344C"/>
          <w:lang w:eastAsia="en-GB"/>
        </w:rPr>
      </w:pPr>
    </w:p>
    <w:p w14:paraId="1704516F" w14:textId="62D1A889" w:rsidR="00073F46" w:rsidRPr="00073F46" w:rsidRDefault="00073F46" w:rsidP="00073F46">
      <w:pPr>
        <w:tabs>
          <w:tab w:val="left" w:pos="5004"/>
        </w:tabs>
        <w:rPr>
          <w:rFonts w:asciiTheme="minorHAnsi" w:hAnsiTheme="minorHAnsi" w:cstheme="minorHAnsi"/>
          <w:lang w:eastAsia="en-GB"/>
        </w:rPr>
      </w:pPr>
      <w:r>
        <w:rPr>
          <w:rFonts w:asciiTheme="minorHAnsi" w:hAnsiTheme="minorHAnsi" w:cstheme="minorHAnsi"/>
          <w:lang w:eastAsia="en-GB"/>
        </w:rPr>
        <w:tab/>
      </w:r>
    </w:p>
    <w:sectPr w:rsidR="00073F46" w:rsidRPr="00073F46" w:rsidSect="00DE51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9" w:h="11907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9B1C9" w14:textId="77777777" w:rsidR="00523CA7" w:rsidRDefault="00523CA7" w:rsidP="00B81088">
      <w:r>
        <w:separator/>
      </w:r>
    </w:p>
  </w:endnote>
  <w:endnote w:type="continuationSeparator" w:id="0">
    <w:p w14:paraId="52776BAA" w14:textId="77777777" w:rsidR="00523CA7" w:rsidRDefault="00523CA7" w:rsidP="00B81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EA492" w14:textId="77777777" w:rsidR="003C44BC" w:rsidRDefault="003C44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1377640"/>
      <w:docPartObj>
        <w:docPartGallery w:val="Page Numbers (Bottom of Page)"/>
        <w:docPartUnique/>
      </w:docPartObj>
    </w:sdtPr>
    <w:sdtEndPr/>
    <w:sdtContent>
      <w:p w14:paraId="502ECE18" w14:textId="77777777" w:rsidR="001A20F1" w:rsidRDefault="001A20F1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0580" w:rsidRPr="00590580">
          <w:rPr>
            <w:noProof/>
            <w:lang w:val="ro-RO"/>
          </w:rPr>
          <w:t>20</w:t>
        </w:r>
        <w:r>
          <w:fldChar w:fldCharType="end"/>
        </w:r>
      </w:p>
    </w:sdtContent>
  </w:sdt>
  <w:p w14:paraId="2EA5427D" w14:textId="57B2AF35" w:rsidR="001A20F1" w:rsidRDefault="003C44BC" w:rsidP="003C44BC">
    <w:pPr>
      <w:pStyle w:val="Footer"/>
      <w:tabs>
        <w:tab w:val="clear" w:pos="4680"/>
        <w:tab w:val="clear" w:pos="9360"/>
        <w:tab w:val="left" w:pos="6720"/>
      </w:tabs>
      <w:jc w:val="center"/>
    </w:pPr>
    <w:r>
      <w:rPr>
        <w:noProof/>
      </w:rPr>
      <w:drawing>
        <wp:inline distT="0" distB="0" distL="0" distR="0" wp14:anchorId="5FC31A99" wp14:editId="0826882F">
          <wp:extent cx="8016011" cy="960120"/>
          <wp:effectExtent l="0" t="0" r="444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8709" cy="9616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7F5BE" w14:textId="77777777" w:rsidR="003C44BC" w:rsidRDefault="003C44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EC51E" w14:textId="77777777" w:rsidR="00523CA7" w:rsidRDefault="00523CA7" w:rsidP="00B81088">
      <w:r>
        <w:separator/>
      </w:r>
    </w:p>
  </w:footnote>
  <w:footnote w:type="continuationSeparator" w:id="0">
    <w:p w14:paraId="5ED0F3C0" w14:textId="77777777" w:rsidR="00523CA7" w:rsidRDefault="00523CA7" w:rsidP="00B810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DA24C" w14:textId="77777777" w:rsidR="003C44BC" w:rsidRDefault="003C44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D27E5" w14:textId="336D5225" w:rsidR="00DE51F2" w:rsidRDefault="00430C3C" w:rsidP="00430C3C">
    <w:pPr>
      <w:pStyle w:val="Header"/>
      <w:tabs>
        <w:tab w:val="clear" w:pos="4680"/>
        <w:tab w:val="clear" w:pos="9360"/>
        <w:tab w:val="left" w:pos="6372"/>
        <w:tab w:val="left" w:pos="11640"/>
      </w:tabs>
    </w:pPr>
    <w:r>
      <w:rPr>
        <w:noProof/>
      </w:rPr>
      <w:drawing>
        <wp:inline distT="0" distB="0" distL="0" distR="0" wp14:anchorId="6FE359F0" wp14:editId="17DCD6E4">
          <wp:extent cx="2231390" cy="4635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1390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4F24176F" wp14:editId="48EC8A4A">
          <wp:extent cx="603250" cy="603250"/>
          <wp:effectExtent l="0" t="0" r="6350" b="635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1B71D8D6" wp14:editId="3EF0B570">
          <wp:extent cx="1365885" cy="554990"/>
          <wp:effectExtent l="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88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537E460" w14:textId="77777777" w:rsidR="00DE51F2" w:rsidRDefault="00DE51F2">
    <w:pPr>
      <w:pStyle w:val="Header"/>
    </w:pPr>
  </w:p>
  <w:p w14:paraId="4D945A53" w14:textId="74E27CA0" w:rsidR="00DE51F2" w:rsidRDefault="00DE51F2">
    <w:pPr>
      <w:pStyle w:val="Header"/>
    </w:pPr>
  </w:p>
  <w:p w14:paraId="3D3F57A5" w14:textId="72C097AB" w:rsidR="001A20F1" w:rsidRDefault="001A20F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1EEED" w14:textId="77777777" w:rsidR="003C44BC" w:rsidRDefault="003C44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55EA0"/>
    <w:multiLevelType w:val="multilevel"/>
    <w:tmpl w:val="B70616B2"/>
    <w:lvl w:ilvl="0">
      <w:start w:val="2"/>
      <w:numFmt w:val="decimal"/>
      <w:lvlText w:val="%1"/>
      <w:lvlJc w:val="left"/>
      <w:pPr>
        <w:ind w:left="568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88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88" w:hanging="1800"/>
      </w:pPr>
      <w:rPr>
        <w:rFonts w:hint="default"/>
      </w:rPr>
    </w:lvl>
  </w:abstractNum>
  <w:abstractNum w:abstractNumId="1" w15:restartNumberingAfterBreak="0">
    <w:nsid w:val="0918131A"/>
    <w:multiLevelType w:val="multilevel"/>
    <w:tmpl w:val="1D964B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9C62D8F"/>
    <w:multiLevelType w:val="hybridMultilevel"/>
    <w:tmpl w:val="D2E051C4"/>
    <w:lvl w:ilvl="0" w:tplc="470C1856">
      <w:start w:val="1"/>
      <w:numFmt w:val="bullet"/>
      <w:pStyle w:val="bullet"/>
      <w:lvlText w:val=""/>
      <w:lvlJc w:val="left"/>
      <w:pPr>
        <w:tabs>
          <w:tab w:val="num" w:pos="-9393"/>
        </w:tabs>
        <w:ind w:left="-9393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-10113"/>
        </w:tabs>
        <w:ind w:left="-1011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9393"/>
        </w:tabs>
        <w:ind w:left="-93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-8673"/>
        </w:tabs>
        <w:ind w:left="-86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-7953"/>
        </w:tabs>
        <w:ind w:left="-79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-7233"/>
        </w:tabs>
        <w:ind w:left="-72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-6513"/>
        </w:tabs>
        <w:ind w:left="-65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-5793"/>
        </w:tabs>
        <w:ind w:left="-57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-5073"/>
        </w:tabs>
        <w:ind w:left="-5073" w:hanging="360"/>
      </w:pPr>
      <w:rPr>
        <w:rFonts w:ascii="Wingdings" w:hAnsi="Wingdings" w:hint="default"/>
      </w:rPr>
    </w:lvl>
  </w:abstractNum>
  <w:abstractNum w:abstractNumId="3" w15:restartNumberingAfterBreak="0">
    <w:nsid w:val="0A50581E"/>
    <w:multiLevelType w:val="multilevel"/>
    <w:tmpl w:val="8F52D9B4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6"/>
      <w:numFmt w:val="decimal"/>
      <w:isLgl/>
      <w:lvlText w:val="%1.%2."/>
      <w:lvlJc w:val="left"/>
      <w:pPr>
        <w:ind w:left="502" w:hanging="36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4" w15:restartNumberingAfterBreak="0">
    <w:nsid w:val="0C4A2164"/>
    <w:multiLevelType w:val="hybridMultilevel"/>
    <w:tmpl w:val="E098C226"/>
    <w:lvl w:ilvl="0" w:tplc="FFFFFFFF">
      <w:start w:val="1"/>
      <w:numFmt w:val="lowerLetter"/>
      <w:lvlText w:val="%1)"/>
      <w:lvlJc w:val="left"/>
      <w:pPr>
        <w:ind w:left="2140" w:hanging="360"/>
      </w:pPr>
      <w:rPr>
        <w:strike w:val="0"/>
        <w:color w:val="27344C"/>
      </w:rPr>
    </w:lvl>
    <w:lvl w:ilvl="1" w:tplc="FFFFFFFF" w:tentative="1">
      <w:start w:val="1"/>
      <w:numFmt w:val="lowerLetter"/>
      <w:lvlText w:val="%2."/>
      <w:lvlJc w:val="left"/>
      <w:pPr>
        <w:ind w:left="2860" w:hanging="360"/>
      </w:pPr>
    </w:lvl>
    <w:lvl w:ilvl="2" w:tplc="FFFFFFFF" w:tentative="1">
      <w:start w:val="1"/>
      <w:numFmt w:val="lowerRoman"/>
      <w:lvlText w:val="%3."/>
      <w:lvlJc w:val="right"/>
      <w:pPr>
        <w:ind w:left="3580" w:hanging="180"/>
      </w:pPr>
    </w:lvl>
    <w:lvl w:ilvl="3" w:tplc="FFFFFFFF" w:tentative="1">
      <w:start w:val="1"/>
      <w:numFmt w:val="decimal"/>
      <w:lvlText w:val="%4."/>
      <w:lvlJc w:val="left"/>
      <w:pPr>
        <w:ind w:left="4300" w:hanging="360"/>
      </w:pPr>
    </w:lvl>
    <w:lvl w:ilvl="4" w:tplc="FFFFFFFF" w:tentative="1">
      <w:start w:val="1"/>
      <w:numFmt w:val="lowerLetter"/>
      <w:lvlText w:val="%5."/>
      <w:lvlJc w:val="left"/>
      <w:pPr>
        <w:ind w:left="5020" w:hanging="360"/>
      </w:pPr>
    </w:lvl>
    <w:lvl w:ilvl="5" w:tplc="FFFFFFFF" w:tentative="1">
      <w:start w:val="1"/>
      <w:numFmt w:val="lowerRoman"/>
      <w:lvlText w:val="%6."/>
      <w:lvlJc w:val="right"/>
      <w:pPr>
        <w:ind w:left="5740" w:hanging="180"/>
      </w:pPr>
    </w:lvl>
    <w:lvl w:ilvl="6" w:tplc="FFFFFFFF" w:tentative="1">
      <w:start w:val="1"/>
      <w:numFmt w:val="decimal"/>
      <w:lvlText w:val="%7."/>
      <w:lvlJc w:val="left"/>
      <w:pPr>
        <w:ind w:left="6460" w:hanging="360"/>
      </w:pPr>
    </w:lvl>
    <w:lvl w:ilvl="7" w:tplc="FFFFFFFF" w:tentative="1">
      <w:start w:val="1"/>
      <w:numFmt w:val="lowerLetter"/>
      <w:lvlText w:val="%8."/>
      <w:lvlJc w:val="left"/>
      <w:pPr>
        <w:ind w:left="7180" w:hanging="360"/>
      </w:pPr>
    </w:lvl>
    <w:lvl w:ilvl="8" w:tplc="FFFFFFFF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5" w15:restartNumberingAfterBreak="0">
    <w:nsid w:val="0C52662D"/>
    <w:multiLevelType w:val="hybridMultilevel"/>
    <w:tmpl w:val="3EDE161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DD7A57"/>
    <w:multiLevelType w:val="hybridMultilevel"/>
    <w:tmpl w:val="954887B0"/>
    <w:lvl w:ilvl="0" w:tplc="D05024F6">
      <w:start w:val="1"/>
      <w:numFmt w:val="lowerLetter"/>
      <w:lvlText w:val="%1)"/>
      <w:lvlJc w:val="left"/>
      <w:pPr>
        <w:ind w:left="2140" w:hanging="360"/>
      </w:pPr>
      <w:rPr>
        <w:strike w:val="0"/>
        <w:color w:val="27344C"/>
      </w:rPr>
    </w:lvl>
    <w:lvl w:ilvl="1" w:tplc="FFFFFFFF" w:tentative="1">
      <w:start w:val="1"/>
      <w:numFmt w:val="lowerLetter"/>
      <w:lvlText w:val="%2."/>
      <w:lvlJc w:val="left"/>
      <w:pPr>
        <w:ind w:left="2860" w:hanging="360"/>
      </w:pPr>
    </w:lvl>
    <w:lvl w:ilvl="2" w:tplc="FFFFFFFF" w:tentative="1">
      <w:start w:val="1"/>
      <w:numFmt w:val="lowerRoman"/>
      <w:lvlText w:val="%3."/>
      <w:lvlJc w:val="right"/>
      <w:pPr>
        <w:ind w:left="3580" w:hanging="180"/>
      </w:pPr>
    </w:lvl>
    <w:lvl w:ilvl="3" w:tplc="FFFFFFFF" w:tentative="1">
      <w:start w:val="1"/>
      <w:numFmt w:val="decimal"/>
      <w:lvlText w:val="%4."/>
      <w:lvlJc w:val="left"/>
      <w:pPr>
        <w:ind w:left="4300" w:hanging="360"/>
      </w:pPr>
    </w:lvl>
    <w:lvl w:ilvl="4" w:tplc="FFFFFFFF" w:tentative="1">
      <w:start w:val="1"/>
      <w:numFmt w:val="lowerLetter"/>
      <w:lvlText w:val="%5."/>
      <w:lvlJc w:val="left"/>
      <w:pPr>
        <w:ind w:left="5020" w:hanging="360"/>
      </w:pPr>
    </w:lvl>
    <w:lvl w:ilvl="5" w:tplc="FFFFFFFF" w:tentative="1">
      <w:start w:val="1"/>
      <w:numFmt w:val="lowerRoman"/>
      <w:lvlText w:val="%6."/>
      <w:lvlJc w:val="right"/>
      <w:pPr>
        <w:ind w:left="5740" w:hanging="180"/>
      </w:pPr>
    </w:lvl>
    <w:lvl w:ilvl="6" w:tplc="FFFFFFFF" w:tentative="1">
      <w:start w:val="1"/>
      <w:numFmt w:val="decimal"/>
      <w:lvlText w:val="%7."/>
      <w:lvlJc w:val="left"/>
      <w:pPr>
        <w:ind w:left="6460" w:hanging="360"/>
      </w:pPr>
    </w:lvl>
    <w:lvl w:ilvl="7" w:tplc="FFFFFFFF" w:tentative="1">
      <w:start w:val="1"/>
      <w:numFmt w:val="lowerLetter"/>
      <w:lvlText w:val="%8."/>
      <w:lvlJc w:val="left"/>
      <w:pPr>
        <w:ind w:left="7180" w:hanging="360"/>
      </w:pPr>
    </w:lvl>
    <w:lvl w:ilvl="8" w:tplc="FFFFFFFF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7" w15:restartNumberingAfterBreak="0">
    <w:nsid w:val="14023DB4"/>
    <w:multiLevelType w:val="hybridMultilevel"/>
    <w:tmpl w:val="A3569256"/>
    <w:lvl w:ilvl="0" w:tplc="1BC832BA">
      <w:start w:val="1"/>
      <w:numFmt w:val="decimal"/>
      <w:lvlText w:val="%1.1"/>
      <w:lvlJc w:val="left"/>
      <w:pPr>
        <w:ind w:left="720" w:hanging="360"/>
      </w:pPr>
      <w:rPr>
        <w:rFonts w:ascii="Calibri Light" w:hAnsi="Calibri Light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2B64A5"/>
    <w:multiLevelType w:val="hybridMultilevel"/>
    <w:tmpl w:val="774C1602"/>
    <w:lvl w:ilvl="0" w:tplc="6B007CA8">
      <w:start w:val="1"/>
      <w:numFmt w:val="lowerRoman"/>
      <w:lvlText w:val="%1."/>
      <w:lvlJc w:val="left"/>
      <w:pPr>
        <w:ind w:left="213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83F5B6B"/>
    <w:multiLevelType w:val="hybridMultilevel"/>
    <w:tmpl w:val="E098C226"/>
    <w:lvl w:ilvl="0" w:tplc="FFFFFFFF">
      <w:start w:val="1"/>
      <w:numFmt w:val="lowerLetter"/>
      <w:lvlText w:val="%1)"/>
      <w:lvlJc w:val="left"/>
      <w:pPr>
        <w:ind w:left="2140" w:hanging="360"/>
      </w:pPr>
      <w:rPr>
        <w:strike w:val="0"/>
        <w:color w:val="27344C"/>
      </w:rPr>
    </w:lvl>
    <w:lvl w:ilvl="1" w:tplc="FFFFFFFF" w:tentative="1">
      <w:start w:val="1"/>
      <w:numFmt w:val="lowerLetter"/>
      <w:lvlText w:val="%2."/>
      <w:lvlJc w:val="left"/>
      <w:pPr>
        <w:ind w:left="2860" w:hanging="360"/>
      </w:pPr>
    </w:lvl>
    <w:lvl w:ilvl="2" w:tplc="FFFFFFFF" w:tentative="1">
      <w:start w:val="1"/>
      <w:numFmt w:val="lowerRoman"/>
      <w:lvlText w:val="%3."/>
      <w:lvlJc w:val="right"/>
      <w:pPr>
        <w:ind w:left="3580" w:hanging="180"/>
      </w:pPr>
    </w:lvl>
    <w:lvl w:ilvl="3" w:tplc="FFFFFFFF" w:tentative="1">
      <w:start w:val="1"/>
      <w:numFmt w:val="decimal"/>
      <w:lvlText w:val="%4."/>
      <w:lvlJc w:val="left"/>
      <w:pPr>
        <w:ind w:left="4300" w:hanging="360"/>
      </w:pPr>
    </w:lvl>
    <w:lvl w:ilvl="4" w:tplc="FFFFFFFF" w:tentative="1">
      <w:start w:val="1"/>
      <w:numFmt w:val="lowerLetter"/>
      <w:lvlText w:val="%5."/>
      <w:lvlJc w:val="left"/>
      <w:pPr>
        <w:ind w:left="5020" w:hanging="360"/>
      </w:pPr>
    </w:lvl>
    <w:lvl w:ilvl="5" w:tplc="FFFFFFFF" w:tentative="1">
      <w:start w:val="1"/>
      <w:numFmt w:val="lowerRoman"/>
      <w:lvlText w:val="%6."/>
      <w:lvlJc w:val="right"/>
      <w:pPr>
        <w:ind w:left="5740" w:hanging="180"/>
      </w:pPr>
    </w:lvl>
    <w:lvl w:ilvl="6" w:tplc="FFFFFFFF" w:tentative="1">
      <w:start w:val="1"/>
      <w:numFmt w:val="decimal"/>
      <w:lvlText w:val="%7."/>
      <w:lvlJc w:val="left"/>
      <w:pPr>
        <w:ind w:left="6460" w:hanging="360"/>
      </w:pPr>
    </w:lvl>
    <w:lvl w:ilvl="7" w:tplc="FFFFFFFF" w:tentative="1">
      <w:start w:val="1"/>
      <w:numFmt w:val="lowerLetter"/>
      <w:lvlText w:val="%8."/>
      <w:lvlJc w:val="left"/>
      <w:pPr>
        <w:ind w:left="7180" w:hanging="360"/>
      </w:pPr>
    </w:lvl>
    <w:lvl w:ilvl="8" w:tplc="FFFFFFFF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10" w15:restartNumberingAfterBreak="0">
    <w:nsid w:val="18727BFC"/>
    <w:multiLevelType w:val="hybridMultilevel"/>
    <w:tmpl w:val="5792DA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8A20FE"/>
    <w:multiLevelType w:val="multilevel"/>
    <w:tmpl w:val="612E7C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19296311"/>
    <w:multiLevelType w:val="hybridMultilevel"/>
    <w:tmpl w:val="BFF0F48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6E4ABC"/>
    <w:multiLevelType w:val="hybridMultilevel"/>
    <w:tmpl w:val="E098C226"/>
    <w:lvl w:ilvl="0" w:tplc="FFFFFFFF">
      <w:start w:val="1"/>
      <w:numFmt w:val="lowerLetter"/>
      <w:lvlText w:val="%1)"/>
      <w:lvlJc w:val="left"/>
      <w:pPr>
        <w:ind w:left="2140" w:hanging="360"/>
      </w:pPr>
      <w:rPr>
        <w:strike w:val="0"/>
        <w:color w:val="27344C"/>
      </w:rPr>
    </w:lvl>
    <w:lvl w:ilvl="1" w:tplc="FFFFFFFF" w:tentative="1">
      <w:start w:val="1"/>
      <w:numFmt w:val="lowerLetter"/>
      <w:lvlText w:val="%2."/>
      <w:lvlJc w:val="left"/>
      <w:pPr>
        <w:ind w:left="2860" w:hanging="360"/>
      </w:pPr>
    </w:lvl>
    <w:lvl w:ilvl="2" w:tplc="FFFFFFFF" w:tentative="1">
      <w:start w:val="1"/>
      <w:numFmt w:val="lowerRoman"/>
      <w:lvlText w:val="%3."/>
      <w:lvlJc w:val="right"/>
      <w:pPr>
        <w:ind w:left="3580" w:hanging="180"/>
      </w:pPr>
    </w:lvl>
    <w:lvl w:ilvl="3" w:tplc="FFFFFFFF" w:tentative="1">
      <w:start w:val="1"/>
      <w:numFmt w:val="decimal"/>
      <w:lvlText w:val="%4."/>
      <w:lvlJc w:val="left"/>
      <w:pPr>
        <w:ind w:left="4300" w:hanging="360"/>
      </w:pPr>
    </w:lvl>
    <w:lvl w:ilvl="4" w:tplc="FFFFFFFF" w:tentative="1">
      <w:start w:val="1"/>
      <w:numFmt w:val="lowerLetter"/>
      <w:lvlText w:val="%5."/>
      <w:lvlJc w:val="left"/>
      <w:pPr>
        <w:ind w:left="5020" w:hanging="360"/>
      </w:pPr>
    </w:lvl>
    <w:lvl w:ilvl="5" w:tplc="FFFFFFFF" w:tentative="1">
      <w:start w:val="1"/>
      <w:numFmt w:val="lowerRoman"/>
      <w:lvlText w:val="%6."/>
      <w:lvlJc w:val="right"/>
      <w:pPr>
        <w:ind w:left="5740" w:hanging="180"/>
      </w:pPr>
    </w:lvl>
    <w:lvl w:ilvl="6" w:tplc="FFFFFFFF" w:tentative="1">
      <w:start w:val="1"/>
      <w:numFmt w:val="decimal"/>
      <w:lvlText w:val="%7."/>
      <w:lvlJc w:val="left"/>
      <w:pPr>
        <w:ind w:left="6460" w:hanging="360"/>
      </w:pPr>
    </w:lvl>
    <w:lvl w:ilvl="7" w:tplc="FFFFFFFF" w:tentative="1">
      <w:start w:val="1"/>
      <w:numFmt w:val="lowerLetter"/>
      <w:lvlText w:val="%8."/>
      <w:lvlJc w:val="left"/>
      <w:pPr>
        <w:ind w:left="7180" w:hanging="360"/>
      </w:pPr>
    </w:lvl>
    <w:lvl w:ilvl="8" w:tplc="FFFFFFFF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14" w15:restartNumberingAfterBreak="0">
    <w:nsid w:val="1A902E95"/>
    <w:multiLevelType w:val="hybridMultilevel"/>
    <w:tmpl w:val="6E6C8D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1D2A79"/>
    <w:multiLevelType w:val="hybridMultilevel"/>
    <w:tmpl w:val="251E53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C71F79"/>
    <w:multiLevelType w:val="hybridMultilevel"/>
    <w:tmpl w:val="A1DABAC8"/>
    <w:lvl w:ilvl="0" w:tplc="308A7BCC">
      <w:start w:val="1"/>
      <w:numFmt w:val="lowerLetter"/>
      <w:lvlText w:val="%1)"/>
      <w:lvlJc w:val="left"/>
      <w:pPr>
        <w:ind w:left="2140" w:hanging="360"/>
      </w:pPr>
      <w:rPr>
        <w:strike w:val="0"/>
        <w:color w:val="27344C"/>
      </w:rPr>
    </w:lvl>
    <w:lvl w:ilvl="1" w:tplc="08090019" w:tentative="1">
      <w:start w:val="1"/>
      <w:numFmt w:val="lowerLetter"/>
      <w:lvlText w:val="%2."/>
      <w:lvlJc w:val="left"/>
      <w:pPr>
        <w:ind w:left="2860" w:hanging="360"/>
      </w:pPr>
    </w:lvl>
    <w:lvl w:ilvl="2" w:tplc="0809001B" w:tentative="1">
      <w:start w:val="1"/>
      <w:numFmt w:val="lowerRoman"/>
      <w:lvlText w:val="%3."/>
      <w:lvlJc w:val="right"/>
      <w:pPr>
        <w:ind w:left="3580" w:hanging="180"/>
      </w:pPr>
    </w:lvl>
    <w:lvl w:ilvl="3" w:tplc="0809000F" w:tentative="1">
      <w:start w:val="1"/>
      <w:numFmt w:val="decimal"/>
      <w:lvlText w:val="%4."/>
      <w:lvlJc w:val="left"/>
      <w:pPr>
        <w:ind w:left="4300" w:hanging="360"/>
      </w:pPr>
    </w:lvl>
    <w:lvl w:ilvl="4" w:tplc="08090019" w:tentative="1">
      <w:start w:val="1"/>
      <w:numFmt w:val="lowerLetter"/>
      <w:lvlText w:val="%5."/>
      <w:lvlJc w:val="left"/>
      <w:pPr>
        <w:ind w:left="5020" w:hanging="360"/>
      </w:pPr>
    </w:lvl>
    <w:lvl w:ilvl="5" w:tplc="0809001B" w:tentative="1">
      <w:start w:val="1"/>
      <w:numFmt w:val="lowerRoman"/>
      <w:lvlText w:val="%6."/>
      <w:lvlJc w:val="right"/>
      <w:pPr>
        <w:ind w:left="5740" w:hanging="180"/>
      </w:pPr>
    </w:lvl>
    <w:lvl w:ilvl="6" w:tplc="0809000F" w:tentative="1">
      <w:start w:val="1"/>
      <w:numFmt w:val="decimal"/>
      <w:lvlText w:val="%7."/>
      <w:lvlJc w:val="left"/>
      <w:pPr>
        <w:ind w:left="6460" w:hanging="360"/>
      </w:pPr>
    </w:lvl>
    <w:lvl w:ilvl="7" w:tplc="08090019" w:tentative="1">
      <w:start w:val="1"/>
      <w:numFmt w:val="lowerLetter"/>
      <w:lvlText w:val="%8."/>
      <w:lvlJc w:val="left"/>
      <w:pPr>
        <w:ind w:left="7180" w:hanging="360"/>
      </w:pPr>
    </w:lvl>
    <w:lvl w:ilvl="8" w:tplc="0809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17" w15:restartNumberingAfterBreak="0">
    <w:nsid w:val="21A02C23"/>
    <w:multiLevelType w:val="hybridMultilevel"/>
    <w:tmpl w:val="101C42AA"/>
    <w:lvl w:ilvl="0" w:tplc="6B007CA8">
      <w:start w:val="1"/>
      <w:numFmt w:val="lowerRoman"/>
      <w:lvlText w:val="%1."/>
      <w:lvlJc w:val="left"/>
      <w:pPr>
        <w:ind w:left="213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58" w:hanging="360"/>
      </w:pPr>
    </w:lvl>
    <w:lvl w:ilvl="2" w:tplc="0809001B" w:tentative="1">
      <w:start w:val="1"/>
      <w:numFmt w:val="lowerRoman"/>
      <w:lvlText w:val="%3."/>
      <w:lvlJc w:val="right"/>
      <w:pPr>
        <w:ind w:left="3578" w:hanging="180"/>
      </w:pPr>
    </w:lvl>
    <w:lvl w:ilvl="3" w:tplc="0809000F" w:tentative="1">
      <w:start w:val="1"/>
      <w:numFmt w:val="decimal"/>
      <w:lvlText w:val="%4."/>
      <w:lvlJc w:val="left"/>
      <w:pPr>
        <w:ind w:left="4298" w:hanging="360"/>
      </w:pPr>
    </w:lvl>
    <w:lvl w:ilvl="4" w:tplc="08090019" w:tentative="1">
      <w:start w:val="1"/>
      <w:numFmt w:val="lowerLetter"/>
      <w:lvlText w:val="%5."/>
      <w:lvlJc w:val="left"/>
      <w:pPr>
        <w:ind w:left="5018" w:hanging="360"/>
      </w:pPr>
    </w:lvl>
    <w:lvl w:ilvl="5" w:tplc="0809001B" w:tentative="1">
      <w:start w:val="1"/>
      <w:numFmt w:val="lowerRoman"/>
      <w:lvlText w:val="%6."/>
      <w:lvlJc w:val="right"/>
      <w:pPr>
        <w:ind w:left="5738" w:hanging="180"/>
      </w:pPr>
    </w:lvl>
    <w:lvl w:ilvl="6" w:tplc="0809000F" w:tentative="1">
      <w:start w:val="1"/>
      <w:numFmt w:val="decimal"/>
      <w:lvlText w:val="%7."/>
      <w:lvlJc w:val="left"/>
      <w:pPr>
        <w:ind w:left="6458" w:hanging="360"/>
      </w:pPr>
    </w:lvl>
    <w:lvl w:ilvl="7" w:tplc="08090019" w:tentative="1">
      <w:start w:val="1"/>
      <w:numFmt w:val="lowerLetter"/>
      <w:lvlText w:val="%8."/>
      <w:lvlJc w:val="left"/>
      <w:pPr>
        <w:ind w:left="7178" w:hanging="360"/>
      </w:pPr>
    </w:lvl>
    <w:lvl w:ilvl="8" w:tplc="08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8" w15:restartNumberingAfterBreak="0">
    <w:nsid w:val="232168B0"/>
    <w:multiLevelType w:val="hybridMultilevel"/>
    <w:tmpl w:val="D6A89E8C"/>
    <w:lvl w:ilvl="0" w:tplc="87D6B08C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3E7FB6"/>
    <w:multiLevelType w:val="hybridMultilevel"/>
    <w:tmpl w:val="23B8D4F0"/>
    <w:lvl w:ilvl="0" w:tplc="881C31D2">
      <w:start w:val="1"/>
      <w:numFmt w:val="bullet"/>
      <w:lvlText w:val=""/>
      <w:lvlJc w:val="left"/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28FA27B8"/>
    <w:multiLevelType w:val="hybridMultilevel"/>
    <w:tmpl w:val="E6FC1878"/>
    <w:lvl w:ilvl="0" w:tplc="87D6B08C">
      <w:start w:val="1"/>
      <w:numFmt w:val="bullet"/>
      <w:lvlText w:val="-"/>
      <w:lvlJc w:val="left"/>
      <w:pPr>
        <w:ind w:left="36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C347A36"/>
    <w:multiLevelType w:val="hybridMultilevel"/>
    <w:tmpl w:val="8DD2192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1F40D1"/>
    <w:multiLevelType w:val="hybridMultilevel"/>
    <w:tmpl w:val="2268580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542BD2"/>
    <w:multiLevelType w:val="hybridMultilevel"/>
    <w:tmpl w:val="A8729BA4"/>
    <w:lvl w:ilvl="0" w:tplc="085AC022">
      <w:start w:val="1"/>
      <w:numFmt w:val="decimal"/>
      <w:lvlText w:val="%1.1"/>
      <w:lvlJc w:val="left"/>
      <w:pPr>
        <w:ind w:left="720" w:hanging="360"/>
      </w:pPr>
      <w:rPr>
        <w:rFonts w:ascii="Calibri Light" w:hAnsi="Calibri Light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041D66"/>
    <w:multiLevelType w:val="hybridMultilevel"/>
    <w:tmpl w:val="3880FA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587CB6"/>
    <w:multiLevelType w:val="hybridMultilevel"/>
    <w:tmpl w:val="E098C226"/>
    <w:lvl w:ilvl="0" w:tplc="FFFFFFFF">
      <w:start w:val="1"/>
      <w:numFmt w:val="lowerLetter"/>
      <w:lvlText w:val="%1)"/>
      <w:lvlJc w:val="left"/>
      <w:pPr>
        <w:ind w:left="2140" w:hanging="360"/>
      </w:pPr>
      <w:rPr>
        <w:strike w:val="0"/>
        <w:color w:val="27344C"/>
      </w:rPr>
    </w:lvl>
    <w:lvl w:ilvl="1" w:tplc="FFFFFFFF" w:tentative="1">
      <w:start w:val="1"/>
      <w:numFmt w:val="lowerLetter"/>
      <w:lvlText w:val="%2."/>
      <w:lvlJc w:val="left"/>
      <w:pPr>
        <w:ind w:left="2860" w:hanging="360"/>
      </w:pPr>
    </w:lvl>
    <w:lvl w:ilvl="2" w:tplc="FFFFFFFF" w:tentative="1">
      <w:start w:val="1"/>
      <w:numFmt w:val="lowerRoman"/>
      <w:lvlText w:val="%3."/>
      <w:lvlJc w:val="right"/>
      <w:pPr>
        <w:ind w:left="3580" w:hanging="180"/>
      </w:pPr>
    </w:lvl>
    <w:lvl w:ilvl="3" w:tplc="FFFFFFFF" w:tentative="1">
      <w:start w:val="1"/>
      <w:numFmt w:val="decimal"/>
      <w:lvlText w:val="%4."/>
      <w:lvlJc w:val="left"/>
      <w:pPr>
        <w:ind w:left="4300" w:hanging="360"/>
      </w:pPr>
    </w:lvl>
    <w:lvl w:ilvl="4" w:tplc="FFFFFFFF" w:tentative="1">
      <w:start w:val="1"/>
      <w:numFmt w:val="lowerLetter"/>
      <w:lvlText w:val="%5."/>
      <w:lvlJc w:val="left"/>
      <w:pPr>
        <w:ind w:left="5020" w:hanging="360"/>
      </w:pPr>
    </w:lvl>
    <w:lvl w:ilvl="5" w:tplc="FFFFFFFF" w:tentative="1">
      <w:start w:val="1"/>
      <w:numFmt w:val="lowerRoman"/>
      <w:lvlText w:val="%6."/>
      <w:lvlJc w:val="right"/>
      <w:pPr>
        <w:ind w:left="5740" w:hanging="180"/>
      </w:pPr>
    </w:lvl>
    <w:lvl w:ilvl="6" w:tplc="FFFFFFFF" w:tentative="1">
      <w:start w:val="1"/>
      <w:numFmt w:val="decimal"/>
      <w:lvlText w:val="%7."/>
      <w:lvlJc w:val="left"/>
      <w:pPr>
        <w:ind w:left="6460" w:hanging="360"/>
      </w:pPr>
    </w:lvl>
    <w:lvl w:ilvl="7" w:tplc="FFFFFFFF" w:tentative="1">
      <w:start w:val="1"/>
      <w:numFmt w:val="lowerLetter"/>
      <w:lvlText w:val="%8."/>
      <w:lvlJc w:val="left"/>
      <w:pPr>
        <w:ind w:left="7180" w:hanging="360"/>
      </w:pPr>
    </w:lvl>
    <w:lvl w:ilvl="8" w:tplc="FFFFFFFF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26" w15:restartNumberingAfterBreak="0">
    <w:nsid w:val="3A051458"/>
    <w:multiLevelType w:val="hybridMultilevel"/>
    <w:tmpl w:val="E098C226"/>
    <w:lvl w:ilvl="0" w:tplc="FFFFFFFF">
      <w:start w:val="1"/>
      <w:numFmt w:val="lowerLetter"/>
      <w:lvlText w:val="%1)"/>
      <w:lvlJc w:val="left"/>
      <w:pPr>
        <w:ind w:left="2140" w:hanging="360"/>
      </w:pPr>
      <w:rPr>
        <w:strike w:val="0"/>
        <w:color w:val="27344C"/>
      </w:rPr>
    </w:lvl>
    <w:lvl w:ilvl="1" w:tplc="FFFFFFFF" w:tentative="1">
      <w:start w:val="1"/>
      <w:numFmt w:val="lowerLetter"/>
      <w:lvlText w:val="%2."/>
      <w:lvlJc w:val="left"/>
      <w:pPr>
        <w:ind w:left="2860" w:hanging="360"/>
      </w:pPr>
    </w:lvl>
    <w:lvl w:ilvl="2" w:tplc="FFFFFFFF" w:tentative="1">
      <w:start w:val="1"/>
      <w:numFmt w:val="lowerRoman"/>
      <w:lvlText w:val="%3."/>
      <w:lvlJc w:val="right"/>
      <w:pPr>
        <w:ind w:left="3580" w:hanging="180"/>
      </w:pPr>
    </w:lvl>
    <w:lvl w:ilvl="3" w:tplc="FFFFFFFF" w:tentative="1">
      <w:start w:val="1"/>
      <w:numFmt w:val="decimal"/>
      <w:lvlText w:val="%4."/>
      <w:lvlJc w:val="left"/>
      <w:pPr>
        <w:ind w:left="4300" w:hanging="360"/>
      </w:pPr>
    </w:lvl>
    <w:lvl w:ilvl="4" w:tplc="FFFFFFFF" w:tentative="1">
      <w:start w:val="1"/>
      <w:numFmt w:val="lowerLetter"/>
      <w:lvlText w:val="%5."/>
      <w:lvlJc w:val="left"/>
      <w:pPr>
        <w:ind w:left="5020" w:hanging="360"/>
      </w:pPr>
    </w:lvl>
    <w:lvl w:ilvl="5" w:tplc="FFFFFFFF" w:tentative="1">
      <w:start w:val="1"/>
      <w:numFmt w:val="lowerRoman"/>
      <w:lvlText w:val="%6."/>
      <w:lvlJc w:val="right"/>
      <w:pPr>
        <w:ind w:left="5740" w:hanging="180"/>
      </w:pPr>
    </w:lvl>
    <w:lvl w:ilvl="6" w:tplc="FFFFFFFF" w:tentative="1">
      <w:start w:val="1"/>
      <w:numFmt w:val="decimal"/>
      <w:lvlText w:val="%7."/>
      <w:lvlJc w:val="left"/>
      <w:pPr>
        <w:ind w:left="6460" w:hanging="360"/>
      </w:pPr>
    </w:lvl>
    <w:lvl w:ilvl="7" w:tplc="FFFFFFFF" w:tentative="1">
      <w:start w:val="1"/>
      <w:numFmt w:val="lowerLetter"/>
      <w:lvlText w:val="%8."/>
      <w:lvlJc w:val="left"/>
      <w:pPr>
        <w:ind w:left="7180" w:hanging="360"/>
      </w:pPr>
    </w:lvl>
    <w:lvl w:ilvl="8" w:tplc="FFFFFFFF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27" w15:restartNumberingAfterBreak="0">
    <w:nsid w:val="3A2721F1"/>
    <w:multiLevelType w:val="multilevel"/>
    <w:tmpl w:val="71AC526A"/>
    <w:lvl w:ilvl="0">
      <w:start w:val="1"/>
      <w:numFmt w:val="decimal"/>
      <w:lvlText w:val="%1."/>
      <w:lvlJc w:val="left"/>
      <w:rPr>
        <w:rFonts w:ascii="Montserrat" w:eastAsia="Trebuchet MS" w:hAnsi="Montserrat" w:cs="Trebuchet MS" w:hint="default"/>
        <w:b/>
        <w:bCs/>
        <w:i w:val="0"/>
        <w:iCs w:val="0"/>
        <w:smallCaps w:val="0"/>
        <w:strike w:val="0"/>
        <w:color w:val="27344C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B5A3736"/>
    <w:multiLevelType w:val="hybridMultilevel"/>
    <w:tmpl w:val="B11296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8B679E"/>
    <w:multiLevelType w:val="hybridMultilevel"/>
    <w:tmpl w:val="E098C226"/>
    <w:lvl w:ilvl="0" w:tplc="A9BADE8A">
      <w:start w:val="1"/>
      <w:numFmt w:val="lowerLetter"/>
      <w:lvlText w:val="%1)"/>
      <w:lvlJc w:val="left"/>
      <w:pPr>
        <w:ind w:left="2140" w:hanging="360"/>
      </w:pPr>
      <w:rPr>
        <w:strike w:val="0"/>
        <w:color w:val="27344C"/>
      </w:rPr>
    </w:lvl>
    <w:lvl w:ilvl="1" w:tplc="FFFFFFFF" w:tentative="1">
      <w:start w:val="1"/>
      <w:numFmt w:val="lowerLetter"/>
      <w:lvlText w:val="%2."/>
      <w:lvlJc w:val="left"/>
      <w:pPr>
        <w:ind w:left="2860" w:hanging="360"/>
      </w:pPr>
    </w:lvl>
    <w:lvl w:ilvl="2" w:tplc="FFFFFFFF" w:tentative="1">
      <w:start w:val="1"/>
      <w:numFmt w:val="lowerRoman"/>
      <w:lvlText w:val="%3."/>
      <w:lvlJc w:val="right"/>
      <w:pPr>
        <w:ind w:left="3580" w:hanging="180"/>
      </w:pPr>
    </w:lvl>
    <w:lvl w:ilvl="3" w:tplc="FFFFFFFF" w:tentative="1">
      <w:start w:val="1"/>
      <w:numFmt w:val="decimal"/>
      <w:lvlText w:val="%4."/>
      <w:lvlJc w:val="left"/>
      <w:pPr>
        <w:ind w:left="4300" w:hanging="360"/>
      </w:pPr>
    </w:lvl>
    <w:lvl w:ilvl="4" w:tplc="FFFFFFFF" w:tentative="1">
      <w:start w:val="1"/>
      <w:numFmt w:val="lowerLetter"/>
      <w:lvlText w:val="%5."/>
      <w:lvlJc w:val="left"/>
      <w:pPr>
        <w:ind w:left="5020" w:hanging="360"/>
      </w:pPr>
    </w:lvl>
    <w:lvl w:ilvl="5" w:tplc="FFFFFFFF" w:tentative="1">
      <w:start w:val="1"/>
      <w:numFmt w:val="lowerRoman"/>
      <w:lvlText w:val="%6."/>
      <w:lvlJc w:val="right"/>
      <w:pPr>
        <w:ind w:left="5740" w:hanging="180"/>
      </w:pPr>
    </w:lvl>
    <w:lvl w:ilvl="6" w:tplc="FFFFFFFF" w:tentative="1">
      <w:start w:val="1"/>
      <w:numFmt w:val="decimal"/>
      <w:lvlText w:val="%7."/>
      <w:lvlJc w:val="left"/>
      <w:pPr>
        <w:ind w:left="6460" w:hanging="360"/>
      </w:pPr>
    </w:lvl>
    <w:lvl w:ilvl="7" w:tplc="FFFFFFFF" w:tentative="1">
      <w:start w:val="1"/>
      <w:numFmt w:val="lowerLetter"/>
      <w:lvlText w:val="%8."/>
      <w:lvlJc w:val="left"/>
      <w:pPr>
        <w:ind w:left="7180" w:hanging="360"/>
      </w:pPr>
    </w:lvl>
    <w:lvl w:ilvl="8" w:tplc="FFFFFFFF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30" w15:restartNumberingAfterBreak="0">
    <w:nsid w:val="41535680"/>
    <w:multiLevelType w:val="hybridMultilevel"/>
    <w:tmpl w:val="774C1602"/>
    <w:lvl w:ilvl="0" w:tplc="FFFFFFFF">
      <w:start w:val="1"/>
      <w:numFmt w:val="lowerRoman"/>
      <w:lvlText w:val="%1."/>
      <w:lvlJc w:val="left"/>
      <w:pPr>
        <w:ind w:left="213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41837217"/>
    <w:multiLevelType w:val="hybridMultilevel"/>
    <w:tmpl w:val="268C33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F226C5"/>
    <w:multiLevelType w:val="multilevel"/>
    <w:tmpl w:val="B7246F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lang w:val="en-US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49E63D56"/>
    <w:multiLevelType w:val="hybridMultilevel"/>
    <w:tmpl w:val="AA7E290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121535"/>
    <w:multiLevelType w:val="hybridMultilevel"/>
    <w:tmpl w:val="E098C226"/>
    <w:lvl w:ilvl="0" w:tplc="FFFFFFFF">
      <w:start w:val="1"/>
      <w:numFmt w:val="lowerLetter"/>
      <w:lvlText w:val="%1)"/>
      <w:lvlJc w:val="left"/>
      <w:pPr>
        <w:ind w:left="2140" w:hanging="360"/>
      </w:pPr>
      <w:rPr>
        <w:strike w:val="0"/>
        <w:color w:val="27344C"/>
      </w:rPr>
    </w:lvl>
    <w:lvl w:ilvl="1" w:tplc="FFFFFFFF" w:tentative="1">
      <w:start w:val="1"/>
      <w:numFmt w:val="lowerLetter"/>
      <w:lvlText w:val="%2."/>
      <w:lvlJc w:val="left"/>
      <w:pPr>
        <w:ind w:left="2860" w:hanging="360"/>
      </w:pPr>
    </w:lvl>
    <w:lvl w:ilvl="2" w:tplc="FFFFFFFF" w:tentative="1">
      <w:start w:val="1"/>
      <w:numFmt w:val="lowerRoman"/>
      <w:lvlText w:val="%3."/>
      <w:lvlJc w:val="right"/>
      <w:pPr>
        <w:ind w:left="3580" w:hanging="180"/>
      </w:pPr>
    </w:lvl>
    <w:lvl w:ilvl="3" w:tplc="FFFFFFFF" w:tentative="1">
      <w:start w:val="1"/>
      <w:numFmt w:val="decimal"/>
      <w:lvlText w:val="%4."/>
      <w:lvlJc w:val="left"/>
      <w:pPr>
        <w:ind w:left="4300" w:hanging="360"/>
      </w:pPr>
    </w:lvl>
    <w:lvl w:ilvl="4" w:tplc="FFFFFFFF" w:tentative="1">
      <w:start w:val="1"/>
      <w:numFmt w:val="lowerLetter"/>
      <w:lvlText w:val="%5."/>
      <w:lvlJc w:val="left"/>
      <w:pPr>
        <w:ind w:left="5020" w:hanging="360"/>
      </w:pPr>
    </w:lvl>
    <w:lvl w:ilvl="5" w:tplc="FFFFFFFF" w:tentative="1">
      <w:start w:val="1"/>
      <w:numFmt w:val="lowerRoman"/>
      <w:lvlText w:val="%6."/>
      <w:lvlJc w:val="right"/>
      <w:pPr>
        <w:ind w:left="5740" w:hanging="180"/>
      </w:pPr>
    </w:lvl>
    <w:lvl w:ilvl="6" w:tplc="FFFFFFFF" w:tentative="1">
      <w:start w:val="1"/>
      <w:numFmt w:val="decimal"/>
      <w:lvlText w:val="%7."/>
      <w:lvlJc w:val="left"/>
      <w:pPr>
        <w:ind w:left="6460" w:hanging="360"/>
      </w:pPr>
    </w:lvl>
    <w:lvl w:ilvl="7" w:tplc="FFFFFFFF" w:tentative="1">
      <w:start w:val="1"/>
      <w:numFmt w:val="lowerLetter"/>
      <w:lvlText w:val="%8."/>
      <w:lvlJc w:val="left"/>
      <w:pPr>
        <w:ind w:left="7180" w:hanging="360"/>
      </w:pPr>
    </w:lvl>
    <w:lvl w:ilvl="8" w:tplc="FFFFFFFF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35" w15:restartNumberingAfterBreak="0">
    <w:nsid w:val="59E56E32"/>
    <w:multiLevelType w:val="hybridMultilevel"/>
    <w:tmpl w:val="FCCA5952"/>
    <w:lvl w:ilvl="0" w:tplc="40DC9ECE">
      <w:start w:val="1"/>
      <w:numFmt w:val="decimal"/>
      <w:lvlText w:val="%1."/>
      <w:lvlJc w:val="left"/>
      <w:pPr>
        <w:ind w:left="643" w:hanging="416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677667"/>
    <w:multiLevelType w:val="multilevel"/>
    <w:tmpl w:val="612E7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7" w15:restartNumberingAfterBreak="0">
    <w:nsid w:val="5BE111AC"/>
    <w:multiLevelType w:val="hybridMultilevel"/>
    <w:tmpl w:val="68F031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547221"/>
    <w:multiLevelType w:val="hybridMultilevel"/>
    <w:tmpl w:val="3F3661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232ED8"/>
    <w:multiLevelType w:val="hybridMultilevel"/>
    <w:tmpl w:val="9D24115A"/>
    <w:lvl w:ilvl="0" w:tplc="080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40" w15:restartNumberingAfterBreak="0">
    <w:nsid w:val="6BB26854"/>
    <w:multiLevelType w:val="hybridMultilevel"/>
    <w:tmpl w:val="C1042792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632077"/>
    <w:multiLevelType w:val="hybridMultilevel"/>
    <w:tmpl w:val="465C874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80156C"/>
    <w:multiLevelType w:val="hybridMultilevel"/>
    <w:tmpl w:val="2E32906A"/>
    <w:lvl w:ilvl="0" w:tplc="0809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3616A5"/>
    <w:multiLevelType w:val="hybridMultilevel"/>
    <w:tmpl w:val="E098C226"/>
    <w:lvl w:ilvl="0" w:tplc="FFFFFFFF">
      <w:start w:val="1"/>
      <w:numFmt w:val="lowerLetter"/>
      <w:lvlText w:val="%1)"/>
      <w:lvlJc w:val="left"/>
      <w:pPr>
        <w:ind w:left="2140" w:hanging="360"/>
      </w:pPr>
      <w:rPr>
        <w:strike w:val="0"/>
        <w:color w:val="27344C"/>
      </w:rPr>
    </w:lvl>
    <w:lvl w:ilvl="1" w:tplc="FFFFFFFF" w:tentative="1">
      <w:start w:val="1"/>
      <w:numFmt w:val="lowerLetter"/>
      <w:lvlText w:val="%2."/>
      <w:lvlJc w:val="left"/>
      <w:pPr>
        <w:ind w:left="2860" w:hanging="360"/>
      </w:pPr>
    </w:lvl>
    <w:lvl w:ilvl="2" w:tplc="FFFFFFFF" w:tentative="1">
      <w:start w:val="1"/>
      <w:numFmt w:val="lowerRoman"/>
      <w:lvlText w:val="%3."/>
      <w:lvlJc w:val="right"/>
      <w:pPr>
        <w:ind w:left="3580" w:hanging="180"/>
      </w:pPr>
    </w:lvl>
    <w:lvl w:ilvl="3" w:tplc="FFFFFFFF" w:tentative="1">
      <w:start w:val="1"/>
      <w:numFmt w:val="decimal"/>
      <w:lvlText w:val="%4."/>
      <w:lvlJc w:val="left"/>
      <w:pPr>
        <w:ind w:left="4300" w:hanging="360"/>
      </w:pPr>
    </w:lvl>
    <w:lvl w:ilvl="4" w:tplc="FFFFFFFF" w:tentative="1">
      <w:start w:val="1"/>
      <w:numFmt w:val="lowerLetter"/>
      <w:lvlText w:val="%5."/>
      <w:lvlJc w:val="left"/>
      <w:pPr>
        <w:ind w:left="5020" w:hanging="360"/>
      </w:pPr>
    </w:lvl>
    <w:lvl w:ilvl="5" w:tplc="FFFFFFFF" w:tentative="1">
      <w:start w:val="1"/>
      <w:numFmt w:val="lowerRoman"/>
      <w:lvlText w:val="%6."/>
      <w:lvlJc w:val="right"/>
      <w:pPr>
        <w:ind w:left="5740" w:hanging="180"/>
      </w:pPr>
    </w:lvl>
    <w:lvl w:ilvl="6" w:tplc="FFFFFFFF" w:tentative="1">
      <w:start w:val="1"/>
      <w:numFmt w:val="decimal"/>
      <w:lvlText w:val="%7."/>
      <w:lvlJc w:val="left"/>
      <w:pPr>
        <w:ind w:left="6460" w:hanging="360"/>
      </w:pPr>
    </w:lvl>
    <w:lvl w:ilvl="7" w:tplc="FFFFFFFF" w:tentative="1">
      <w:start w:val="1"/>
      <w:numFmt w:val="lowerLetter"/>
      <w:lvlText w:val="%8."/>
      <w:lvlJc w:val="left"/>
      <w:pPr>
        <w:ind w:left="7180" w:hanging="360"/>
      </w:pPr>
    </w:lvl>
    <w:lvl w:ilvl="8" w:tplc="FFFFFFFF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44" w15:restartNumberingAfterBreak="0">
    <w:nsid w:val="750E708D"/>
    <w:multiLevelType w:val="hybridMultilevel"/>
    <w:tmpl w:val="E098C226"/>
    <w:lvl w:ilvl="0" w:tplc="FFFFFFFF">
      <w:start w:val="1"/>
      <w:numFmt w:val="lowerLetter"/>
      <w:lvlText w:val="%1)"/>
      <w:lvlJc w:val="left"/>
      <w:pPr>
        <w:ind w:left="2140" w:hanging="360"/>
      </w:pPr>
      <w:rPr>
        <w:strike w:val="0"/>
        <w:color w:val="27344C"/>
      </w:rPr>
    </w:lvl>
    <w:lvl w:ilvl="1" w:tplc="FFFFFFFF" w:tentative="1">
      <w:start w:val="1"/>
      <w:numFmt w:val="lowerLetter"/>
      <w:lvlText w:val="%2."/>
      <w:lvlJc w:val="left"/>
      <w:pPr>
        <w:ind w:left="2860" w:hanging="360"/>
      </w:pPr>
    </w:lvl>
    <w:lvl w:ilvl="2" w:tplc="FFFFFFFF" w:tentative="1">
      <w:start w:val="1"/>
      <w:numFmt w:val="lowerRoman"/>
      <w:lvlText w:val="%3."/>
      <w:lvlJc w:val="right"/>
      <w:pPr>
        <w:ind w:left="3580" w:hanging="180"/>
      </w:pPr>
    </w:lvl>
    <w:lvl w:ilvl="3" w:tplc="FFFFFFFF" w:tentative="1">
      <w:start w:val="1"/>
      <w:numFmt w:val="decimal"/>
      <w:lvlText w:val="%4."/>
      <w:lvlJc w:val="left"/>
      <w:pPr>
        <w:ind w:left="4300" w:hanging="360"/>
      </w:pPr>
    </w:lvl>
    <w:lvl w:ilvl="4" w:tplc="FFFFFFFF" w:tentative="1">
      <w:start w:val="1"/>
      <w:numFmt w:val="lowerLetter"/>
      <w:lvlText w:val="%5."/>
      <w:lvlJc w:val="left"/>
      <w:pPr>
        <w:ind w:left="5020" w:hanging="360"/>
      </w:pPr>
    </w:lvl>
    <w:lvl w:ilvl="5" w:tplc="FFFFFFFF" w:tentative="1">
      <w:start w:val="1"/>
      <w:numFmt w:val="lowerRoman"/>
      <w:lvlText w:val="%6."/>
      <w:lvlJc w:val="right"/>
      <w:pPr>
        <w:ind w:left="5740" w:hanging="180"/>
      </w:pPr>
    </w:lvl>
    <w:lvl w:ilvl="6" w:tplc="FFFFFFFF" w:tentative="1">
      <w:start w:val="1"/>
      <w:numFmt w:val="decimal"/>
      <w:lvlText w:val="%7."/>
      <w:lvlJc w:val="left"/>
      <w:pPr>
        <w:ind w:left="6460" w:hanging="360"/>
      </w:pPr>
    </w:lvl>
    <w:lvl w:ilvl="7" w:tplc="FFFFFFFF" w:tentative="1">
      <w:start w:val="1"/>
      <w:numFmt w:val="lowerLetter"/>
      <w:lvlText w:val="%8."/>
      <w:lvlJc w:val="left"/>
      <w:pPr>
        <w:ind w:left="7180" w:hanging="360"/>
      </w:pPr>
    </w:lvl>
    <w:lvl w:ilvl="8" w:tplc="FFFFFFFF" w:tentative="1">
      <w:start w:val="1"/>
      <w:numFmt w:val="lowerRoman"/>
      <w:lvlText w:val="%9."/>
      <w:lvlJc w:val="right"/>
      <w:pPr>
        <w:ind w:left="7900" w:hanging="180"/>
      </w:pPr>
    </w:lvl>
  </w:abstractNum>
  <w:num w:numId="1">
    <w:abstractNumId w:val="2"/>
  </w:num>
  <w:num w:numId="2">
    <w:abstractNumId w:val="27"/>
  </w:num>
  <w:num w:numId="3">
    <w:abstractNumId w:val="16"/>
  </w:num>
  <w:num w:numId="4">
    <w:abstractNumId w:val="17"/>
  </w:num>
  <w:num w:numId="5">
    <w:abstractNumId w:val="8"/>
  </w:num>
  <w:num w:numId="6">
    <w:abstractNumId w:val="30"/>
  </w:num>
  <w:num w:numId="7">
    <w:abstractNumId w:val="14"/>
  </w:num>
  <w:num w:numId="8">
    <w:abstractNumId w:val="5"/>
  </w:num>
  <w:num w:numId="9">
    <w:abstractNumId w:val="6"/>
  </w:num>
  <w:num w:numId="10">
    <w:abstractNumId w:val="29"/>
  </w:num>
  <w:num w:numId="11">
    <w:abstractNumId w:val="4"/>
  </w:num>
  <w:num w:numId="12">
    <w:abstractNumId w:val="43"/>
  </w:num>
  <w:num w:numId="13">
    <w:abstractNumId w:val="34"/>
  </w:num>
  <w:num w:numId="14">
    <w:abstractNumId w:val="9"/>
  </w:num>
  <w:num w:numId="15">
    <w:abstractNumId w:val="25"/>
  </w:num>
  <w:num w:numId="16">
    <w:abstractNumId w:val="26"/>
  </w:num>
  <w:num w:numId="17">
    <w:abstractNumId w:val="44"/>
  </w:num>
  <w:num w:numId="18">
    <w:abstractNumId w:val="13"/>
  </w:num>
  <w:num w:numId="19">
    <w:abstractNumId w:val="21"/>
  </w:num>
  <w:num w:numId="20">
    <w:abstractNumId w:val="35"/>
  </w:num>
  <w:num w:numId="21">
    <w:abstractNumId w:val="19"/>
  </w:num>
  <w:num w:numId="22">
    <w:abstractNumId w:val="40"/>
  </w:num>
  <w:num w:numId="23">
    <w:abstractNumId w:val="22"/>
  </w:num>
  <w:num w:numId="24">
    <w:abstractNumId w:val="28"/>
  </w:num>
  <w:num w:numId="25">
    <w:abstractNumId w:val="33"/>
  </w:num>
  <w:num w:numId="26">
    <w:abstractNumId w:val="41"/>
  </w:num>
  <w:num w:numId="27">
    <w:abstractNumId w:val="42"/>
  </w:num>
  <w:num w:numId="28">
    <w:abstractNumId w:val="37"/>
  </w:num>
  <w:num w:numId="29">
    <w:abstractNumId w:val="31"/>
  </w:num>
  <w:num w:numId="30">
    <w:abstractNumId w:val="38"/>
  </w:num>
  <w:num w:numId="31">
    <w:abstractNumId w:val="10"/>
  </w:num>
  <w:num w:numId="32">
    <w:abstractNumId w:val="39"/>
  </w:num>
  <w:num w:numId="33">
    <w:abstractNumId w:val="15"/>
  </w:num>
  <w:num w:numId="34">
    <w:abstractNumId w:val="12"/>
  </w:num>
  <w:num w:numId="35">
    <w:abstractNumId w:val="24"/>
  </w:num>
  <w:num w:numId="36">
    <w:abstractNumId w:val="3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7"/>
  </w:num>
  <w:num w:numId="39">
    <w:abstractNumId w:val="23"/>
  </w:num>
  <w:num w:numId="40">
    <w:abstractNumId w:val="32"/>
  </w:num>
  <w:num w:numId="41">
    <w:abstractNumId w:val="0"/>
  </w:num>
  <w:num w:numId="42">
    <w:abstractNumId w:val="1"/>
  </w:num>
  <w:num w:numId="43">
    <w:abstractNumId w:val="36"/>
  </w:num>
  <w:num w:numId="44">
    <w:abstractNumId w:val="11"/>
  </w:num>
  <w:num w:numId="45">
    <w:abstractNumId w:val="18"/>
  </w:num>
  <w:num w:numId="46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47A"/>
    <w:rsid w:val="000129E1"/>
    <w:rsid w:val="0001470F"/>
    <w:rsid w:val="000256C3"/>
    <w:rsid w:val="00025718"/>
    <w:rsid w:val="00031DBA"/>
    <w:rsid w:val="0003752C"/>
    <w:rsid w:val="000508DE"/>
    <w:rsid w:val="00055507"/>
    <w:rsid w:val="000646B7"/>
    <w:rsid w:val="00065753"/>
    <w:rsid w:val="00073F46"/>
    <w:rsid w:val="0007432E"/>
    <w:rsid w:val="00083EB8"/>
    <w:rsid w:val="00092E64"/>
    <w:rsid w:val="000979FF"/>
    <w:rsid w:val="000B041D"/>
    <w:rsid w:val="000B0513"/>
    <w:rsid w:val="000B42E6"/>
    <w:rsid w:val="000B44C3"/>
    <w:rsid w:val="000C0B51"/>
    <w:rsid w:val="000D318B"/>
    <w:rsid w:val="000D7846"/>
    <w:rsid w:val="000E0F42"/>
    <w:rsid w:val="000E1A8C"/>
    <w:rsid w:val="000F4252"/>
    <w:rsid w:val="00115B3B"/>
    <w:rsid w:val="00122D0E"/>
    <w:rsid w:val="00133429"/>
    <w:rsid w:val="00144CB3"/>
    <w:rsid w:val="00147DD8"/>
    <w:rsid w:val="0015645F"/>
    <w:rsid w:val="001566F8"/>
    <w:rsid w:val="00166F9F"/>
    <w:rsid w:val="00172454"/>
    <w:rsid w:val="0017295D"/>
    <w:rsid w:val="00173EF1"/>
    <w:rsid w:val="00174856"/>
    <w:rsid w:val="00180B1E"/>
    <w:rsid w:val="00190458"/>
    <w:rsid w:val="001A20F1"/>
    <w:rsid w:val="001B0EB0"/>
    <w:rsid w:val="001B1F96"/>
    <w:rsid w:val="001B3907"/>
    <w:rsid w:val="001B3EFC"/>
    <w:rsid w:val="001B6479"/>
    <w:rsid w:val="001C6272"/>
    <w:rsid w:val="001C6A83"/>
    <w:rsid w:val="001D0638"/>
    <w:rsid w:val="001E39FF"/>
    <w:rsid w:val="001E3A26"/>
    <w:rsid w:val="001F0957"/>
    <w:rsid w:val="00204F66"/>
    <w:rsid w:val="002070F9"/>
    <w:rsid w:val="002079D1"/>
    <w:rsid w:val="00210168"/>
    <w:rsid w:val="002105D2"/>
    <w:rsid w:val="00210E51"/>
    <w:rsid w:val="00212587"/>
    <w:rsid w:val="002142E1"/>
    <w:rsid w:val="00214A7F"/>
    <w:rsid w:val="002208C1"/>
    <w:rsid w:val="00227D14"/>
    <w:rsid w:val="00237757"/>
    <w:rsid w:val="00250DFF"/>
    <w:rsid w:val="00251969"/>
    <w:rsid w:val="0026477B"/>
    <w:rsid w:val="002714DB"/>
    <w:rsid w:val="00273B40"/>
    <w:rsid w:val="002A6190"/>
    <w:rsid w:val="002B0503"/>
    <w:rsid w:val="002C3E96"/>
    <w:rsid w:val="002C4DF0"/>
    <w:rsid w:val="002D4DD0"/>
    <w:rsid w:val="002E7A9A"/>
    <w:rsid w:val="002F2A94"/>
    <w:rsid w:val="003028FF"/>
    <w:rsid w:val="00312D59"/>
    <w:rsid w:val="00314E43"/>
    <w:rsid w:val="003166E0"/>
    <w:rsid w:val="0032687F"/>
    <w:rsid w:val="00326F89"/>
    <w:rsid w:val="00332A3D"/>
    <w:rsid w:val="0034044A"/>
    <w:rsid w:val="003404F6"/>
    <w:rsid w:val="00344CA5"/>
    <w:rsid w:val="00350CE7"/>
    <w:rsid w:val="00364FCD"/>
    <w:rsid w:val="003723D8"/>
    <w:rsid w:val="00387EF3"/>
    <w:rsid w:val="003966FB"/>
    <w:rsid w:val="003A40C6"/>
    <w:rsid w:val="003A59CD"/>
    <w:rsid w:val="003A6717"/>
    <w:rsid w:val="003C241A"/>
    <w:rsid w:val="003C2796"/>
    <w:rsid w:val="003C44BC"/>
    <w:rsid w:val="003D0180"/>
    <w:rsid w:val="003E7631"/>
    <w:rsid w:val="003F0E05"/>
    <w:rsid w:val="003F512E"/>
    <w:rsid w:val="003F53FF"/>
    <w:rsid w:val="00411BB4"/>
    <w:rsid w:val="00412C15"/>
    <w:rsid w:val="00420E2C"/>
    <w:rsid w:val="00430C3C"/>
    <w:rsid w:val="00432BC4"/>
    <w:rsid w:val="00432ED2"/>
    <w:rsid w:val="004508A7"/>
    <w:rsid w:val="00452E6B"/>
    <w:rsid w:val="00464EFA"/>
    <w:rsid w:val="00466CE2"/>
    <w:rsid w:val="004737D4"/>
    <w:rsid w:val="0048193B"/>
    <w:rsid w:val="004900D6"/>
    <w:rsid w:val="004944A7"/>
    <w:rsid w:val="004A3C30"/>
    <w:rsid w:val="004B1564"/>
    <w:rsid w:val="004C5989"/>
    <w:rsid w:val="004D3A3B"/>
    <w:rsid w:val="004F7707"/>
    <w:rsid w:val="005026AF"/>
    <w:rsid w:val="00511FE7"/>
    <w:rsid w:val="00514416"/>
    <w:rsid w:val="00523CA7"/>
    <w:rsid w:val="00525BE3"/>
    <w:rsid w:val="00531243"/>
    <w:rsid w:val="00537EAB"/>
    <w:rsid w:val="00542E8A"/>
    <w:rsid w:val="00552F8D"/>
    <w:rsid w:val="0055586E"/>
    <w:rsid w:val="00555964"/>
    <w:rsid w:val="00555982"/>
    <w:rsid w:val="0055737A"/>
    <w:rsid w:val="0057230F"/>
    <w:rsid w:val="005739B4"/>
    <w:rsid w:val="00590580"/>
    <w:rsid w:val="00591590"/>
    <w:rsid w:val="005A0CF7"/>
    <w:rsid w:val="005A2E19"/>
    <w:rsid w:val="005B534B"/>
    <w:rsid w:val="005B652C"/>
    <w:rsid w:val="005B6D37"/>
    <w:rsid w:val="005C496F"/>
    <w:rsid w:val="005E46BC"/>
    <w:rsid w:val="005E79B6"/>
    <w:rsid w:val="00614744"/>
    <w:rsid w:val="00626389"/>
    <w:rsid w:val="0064002A"/>
    <w:rsid w:val="00643689"/>
    <w:rsid w:val="006528E7"/>
    <w:rsid w:val="0066282F"/>
    <w:rsid w:val="006703FE"/>
    <w:rsid w:val="00672B68"/>
    <w:rsid w:val="00674149"/>
    <w:rsid w:val="00676A98"/>
    <w:rsid w:val="006855EF"/>
    <w:rsid w:val="00692B09"/>
    <w:rsid w:val="00697682"/>
    <w:rsid w:val="006A70E1"/>
    <w:rsid w:val="006B0DD8"/>
    <w:rsid w:val="006B30F3"/>
    <w:rsid w:val="006B3E32"/>
    <w:rsid w:val="006B770A"/>
    <w:rsid w:val="006C03B8"/>
    <w:rsid w:val="006C295C"/>
    <w:rsid w:val="006C3125"/>
    <w:rsid w:val="006E4E39"/>
    <w:rsid w:val="006F14E2"/>
    <w:rsid w:val="006F51A0"/>
    <w:rsid w:val="006F64C4"/>
    <w:rsid w:val="00723AD7"/>
    <w:rsid w:val="00725221"/>
    <w:rsid w:val="00754838"/>
    <w:rsid w:val="00762728"/>
    <w:rsid w:val="00767F84"/>
    <w:rsid w:val="00777FC6"/>
    <w:rsid w:val="007852DF"/>
    <w:rsid w:val="007921A2"/>
    <w:rsid w:val="007954AA"/>
    <w:rsid w:val="00796B99"/>
    <w:rsid w:val="00796C91"/>
    <w:rsid w:val="007A5F81"/>
    <w:rsid w:val="007B13EB"/>
    <w:rsid w:val="007B170F"/>
    <w:rsid w:val="007B2BD0"/>
    <w:rsid w:val="007B4FFC"/>
    <w:rsid w:val="007C26E6"/>
    <w:rsid w:val="007C71D7"/>
    <w:rsid w:val="007D3936"/>
    <w:rsid w:val="007D657A"/>
    <w:rsid w:val="007E2286"/>
    <w:rsid w:val="007E2887"/>
    <w:rsid w:val="007E44C5"/>
    <w:rsid w:val="008077CE"/>
    <w:rsid w:val="00807AD5"/>
    <w:rsid w:val="00813AFF"/>
    <w:rsid w:val="008168FE"/>
    <w:rsid w:val="00817100"/>
    <w:rsid w:val="00817E9E"/>
    <w:rsid w:val="008211DB"/>
    <w:rsid w:val="008254AF"/>
    <w:rsid w:val="00835C9E"/>
    <w:rsid w:val="00836903"/>
    <w:rsid w:val="00837D0F"/>
    <w:rsid w:val="00837F66"/>
    <w:rsid w:val="00845521"/>
    <w:rsid w:val="008462DE"/>
    <w:rsid w:val="008611DB"/>
    <w:rsid w:val="00865FFF"/>
    <w:rsid w:val="00866122"/>
    <w:rsid w:val="00874E0E"/>
    <w:rsid w:val="00875562"/>
    <w:rsid w:val="00876C64"/>
    <w:rsid w:val="008802C8"/>
    <w:rsid w:val="0088291C"/>
    <w:rsid w:val="00884EDB"/>
    <w:rsid w:val="00891C60"/>
    <w:rsid w:val="008B4BCC"/>
    <w:rsid w:val="008C728C"/>
    <w:rsid w:val="008C7D8B"/>
    <w:rsid w:val="008D37C2"/>
    <w:rsid w:val="008F5287"/>
    <w:rsid w:val="00901CE1"/>
    <w:rsid w:val="00903913"/>
    <w:rsid w:val="009046C7"/>
    <w:rsid w:val="00935632"/>
    <w:rsid w:val="00935F7E"/>
    <w:rsid w:val="0094518A"/>
    <w:rsid w:val="00964D8A"/>
    <w:rsid w:val="00986501"/>
    <w:rsid w:val="009912DA"/>
    <w:rsid w:val="009913A4"/>
    <w:rsid w:val="009974D2"/>
    <w:rsid w:val="009B43DF"/>
    <w:rsid w:val="009B4B6B"/>
    <w:rsid w:val="009B57E0"/>
    <w:rsid w:val="009D6872"/>
    <w:rsid w:val="009E205E"/>
    <w:rsid w:val="009E3E22"/>
    <w:rsid w:val="009E6957"/>
    <w:rsid w:val="009F1451"/>
    <w:rsid w:val="009F6F19"/>
    <w:rsid w:val="00A0367C"/>
    <w:rsid w:val="00A03FA0"/>
    <w:rsid w:val="00A05FD0"/>
    <w:rsid w:val="00A11062"/>
    <w:rsid w:val="00A21213"/>
    <w:rsid w:val="00A22D40"/>
    <w:rsid w:val="00A24883"/>
    <w:rsid w:val="00A259C9"/>
    <w:rsid w:val="00A3369C"/>
    <w:rsid w:val="00A349D4"/>
    <w:rsid w:val="00A37981"/>
    <w:rsid w:val="00A4339E"/>
    <w:rsid w:val="00A503BF"/>
    <w:rsid w:val="00A75346"/>
    <w:rsid w:val="00A76C98"/>
    <w:rsid w:val="00A826A5"/>
    <w:rsid w:val="00A8528B"/>
    <w:rsid w:val="00A90FD4"/>
    <w:rsid w:val="00A9156F"/>
    <w:rsid w:val="00AB3ED8"/>
    <w:rsid w:val="00AC463A"/>
    <w:rsid w:val="00AE5393"/>
    <w:rsid w:val="00B04AB1"/>
    <w:rsid w:val="00B06A3B"/>
    <w:rsid w:val="00B12000"/>
    <w:rsid w:val="00B15B41"/>
    <w:rsid w:val="00B32FC0"/>
    <w:rsid w:val="00B334CF"/>
    <w:rsid w:val="00B40F47"/>
    <w:rsid w:val="00B645D0"/>
    <w:rsid w:val="00B64604"/>
    <w:rsid w:val="00B64C25"/>
    <w:rsid w:val="00B66522"/>
    <w:rsid w:val="00B72124"/>
    <w:rsid w:val="00B77B46"/>
    <w:rsid w:val="00B81088"/>
    <w:rsid w:val="00B92B3F"/>
    <w:rsid w:val="00B93230"/>
    <w:rsid w:val="00BA1421"/>
    <w:rsid w:val="00BA38F4"/>
    <w:rsid w:val="00BB4575"/>
    <w:rsid w:val="00BB566B"/>
    <w:rsid w:val="00BF04AD"/>
    <w:rsid w:val="00C0566B"/>
    <w:rsid w:val="00C069B0"/>
    <w:rsid w:val="00C11D8E"/>
    <w:rsid w:val="00C144F0"/>
    <w:rsid w:val="00C453F5"/>
    <w:rsid w:val="00C46D4E"/>
    <w:rsid w:val="00C52021"/>
    <w:rsid w:val="00C5331D"/>
    <w:rsid w:val="00C8015A"/>
    <w:rsid w:val="00C811D2"/>
    <w:rsid w:val="00C82D26"/>
    <w:rsid w:val="00C91FB4"/>
    <w:rsid w:val="00C94BBF"/>
    <w:rsid w:val="00C95871"/>
    <w:rsid w:val="00C95C30"/>
    <w:rsid w:val="00CA20BE"/>
    <w:rsid w:val="00CB332C"/>
    <w:rsid w:val="00CC0B39"/>
    <w:rsid w:val="00CC5DB3"/>
    <w:rsid w:val="00CC617D"/>
    <w:rsid w:val="00CD4C48"/>
    <w:rsid w:val="00CE0BBD"/>
    <w:rsid w:val="00CF39EC"/>
    <w:rsid w:val="00D20C0A"/>
    <w:rsid w:val="00D34925"/>
    <w:rsid w:val="00D34E08"/>
    <w:rsid w:val="00D44BBF"/>
    <w:rsid w:val="00D454BE"/>
    <w:rsid w:val="00D46434"/>
    <w:rsid w:val="00D478D0"/>
    <w:rsid w:val="00D528F1"/>
    <w:rsid w:val="00D665AA"/>
    <w:rsid w:val="00D71E61"/>
    <w:rsid w:val="00D74DB0"/>
    <w:rsid w:val="00D7673C"/>
    <w:rsid w:val="00D8499E"/>
    <w:rsid w:val="00D91AAD"/>
    <w:rsid w:val="00DA0ACB"/>
    <w:rsid w:val="00DA42D5"/>
    <w:rsid w:val="00DB4D40"/>
    <w:rsid w:val="00DC7B8F"/>
    <w:rsid w:val="00DD147A"/>
    <w:rsid w:val="00DD78BD"/>
    <w:rsid w:val="00DE265F"/>
    <w:rsid w:val="00DE381B"/>
    <w:rsid w:val="00DE3BEF"/>
    <w:rsid w:val="00DE3D1A"/>
    <w:rsid w:val="00DE51F2"/>
    <w:rsid w:val="00DE68E9"/>
    <w:rsid w:val="00DF5272"/>
    <w:rsid w:val="00E02476"/>
    <w:rsid w:val="00E05285"/>
    <w:rsid w:val="00E06D9B"/>
    <w:rsid w:val="00E07078"/>
    <w:rsid w:val="00E24C7A"/>
    <w:rsid w:val="00E256F4"/>
    <w:rsid w:val="00E42B28"/>
    <w:rsid w:val="00E5261A"/>
    <w:rsid w:val="00E54D4B"/>
    <w:rsid w:val="00E54E9F"/>
    <w:rsid w:val="00E66812"/>
    <w:rsid w:val="00E71635"/>
    <w:rsid w:val="00E744DD"/>
    <w:rsid w:val="00E77ED4"/>
    <w:rsid w:val="00E8349A"/>
    <w:rsid w:val="00E85A77"/>
    <w:rsid w:val="00E91F51"/>
    <w:rsid w:val="00E93D7C"/>
    <w:rsid w:val="00E96D06"/>
    <w:rsid w:val="00EA5FAA"/>
    <w:rsid w:val="00ED486D"/>
    <w:rsid w:val="00ED4BA5"/>
    <w:rsid w:val="00EF03CC"/>
    <w:rsid w:val="00EF226A"/>
    <w:rsid w:val="00F0045D"/>
    <w:rsid w:val="00F00712"/>
    <w:rsid w:val="00F02F34"/>
    <w:rsid w:val="00F03255"/>
    <w:rsid w:val="00F042EF"/>
    <w:rsid w:val="00F109ED"/>
    <w:rsid w:val="00F11F34"/>
    <w:rsid w:val="00F268B1"/>
    <w:rsid w:val="00F301B5"/>
    <w:rsid w:val="00F31BC9"/>
    <w:rsid w:val="00F4736C"/>
    <w:rsid w:val="00F54B6A"/>
    <w:rsid w:val="00F64809"/>
    <w:rsid w:val="00F72872"/>
    <w:rsid w:val="00F74961"/>
    <w:rsid w:val="00F84A73"/>
    <w:rsid w:val="00F87F07"/>
    <w:rsid w:val="00F96EB3"/>
    <w:rsid w:val="00FB35E8"/>
    <w:rsid w:val="00FD49A5"/>
    <w:rsid w:val="00FE47C5"/>
    <w:rsid w:val="00FF3303"/>
    <w:rsid w:val="00FF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9A581B3"/>
  <w15:docId w15:val="{D35ABFA9-7920-4AE4-B617-33FAB4F13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FB4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7A9A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noProof/>
      <w:color w:val="C49A00" w:themeColor="accent1" w:themeShade="BF"/>
      <w:sz w:val="26"/>
      <w:szCs w:val="26"/>
      <w:lang w:val="ro-RO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E7A9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C49A00" w:themeColor="accent1" w:themeShade="B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56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6C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2E7A9A"/>
    <w:rPr>
      <w:rFonts w:asciiTheme="majorHAnsi" w:eastAsiaTheme="majorEastAsia" w:hAnsiTheme="majorHAnsi" w:cstheme="majorBidi"/>
      <w:noProof/>
      <w:color w:val="C49A00" w:themeColor="accent1" w:themeShade="BF"/>
      <w:sz w:val="26"/>
      <w:szCs w:val="26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rsid w:val="002E7A9A"/>
    <w:rPr>
      <w:rFonts w:asciiTheme="majorHAnsi" w:eastAsiaTheme="majorEastAsia" w:hAnsiTheme="majorHAnsi" w:cstheme="majorBidi"/>
      <w:i/>
      <w:iCs/>
      <w:color w:val="C49A00" w:themeColor="accent1" w:themeShade="BF"/>
      <w:sz w:val="22"/>
    </w:rPr>
  </w:style>
  <w:style w:type="paragraph" w:styleId="ListParagraph">
    <w:name w:val="List Paragraph"/>
    <w:aliases w:val="Antes de enumeración,body 2,List Paragraph1,Normal bullet 2,List Paragraph11,Listă colorată - Accentuare 11,Bullet,Citation List,Akapit z listą BS,Outlines a.b.c.,List_Paragraph,Multilevel para_II,Akapit z lista BS,List Paragraph111,List1"/>
    <w:basedOn w:val="Normal"/>
    <w:link w:val="ListParagraphChar"/>
    <w:uiPriority w:val="34"/>
    <w:qFormat/>
    <w:rsid w:val="002E7A9A"/>
    <w:pPr>
      <w:spacing w:after="160" w:line="259" w:lineRule="auto"/>
      <w:ind w:left="720"/>
      <w:contextualSpacing/>
    </w:pPr>
    <w:rPr>
      <w:rFonts w:asciiTheme="minorHAnsi" w:hAnsiTheme="minorHAnsi"/>
      <w:sz w:val="22"/>
      <w:lang w:val="ro-RO"/>
    </w:rPr>
  </w:style>
  <w:style w:type="character" w:customStyle="1" w:styleId="ListParagraphChar">
    <w:name w:val="List Paragraph Char"/>
    <w:aliases w:val="Antes de enumeración Char,body 2 Char,List Paragraph1 Char,Normal bullet 2 Char,List Paragraph11 Char,Listă colorată - Accentuare 11 Char,Bullet Char,Citation List Char,Akapit z listą BS Char,Outlines a.b.c. Char,List_Paragraph Char"/>
    <w:link w:val="ListParagraph"/>
    <w:uiPriority w:val="34"/>
    <w:qFormat/>
    <w:locked/>
    <w:rsid w:val="002E7A9A"/>
    <w:rPr>
      <w:rFonts w:asciiTheme="minorHAnsi" w:hAnsiTheme="minorHAnsi"/>
      <w:sz w:val="22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2E7A9A"/>
    <w:pPr>
      <w:tabs>
        <w:tab w:val="center" w:pos="4680"/>
        <w:tab w:val="right" w:pos="9360"/>
      </w:tabs>
    </w:pPr>
    <w:rPr>
      <w:rFonts w:asciiTheme="minorHAnsi" w:hAnsiTheme="minorHAnsi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2E7A9A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unhideWhenUsed/>
    <w:rsid w:val="002E7A9A"/>
    <w:pPr>
      <w:tabs>
        <w:tab w:val="center" w:pos="4680"/>
        <w:tab w:val="right" w:pos="9360"/>
      </w:tabs>
    </w:pPr>
    <w:rPr>
      <w:rFonts w:asciiTheme="minorHAnsi" w:hAnsiTheme="minorHAnsi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2E7A9A"/>
    <w:rPr>
      <w:rFonts w:asciiTheme="minorHAnsi" w:hAnsiTheme="minorHAnsi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2E7A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7A9A"/>
    <w:pPr>
      <w:spacing w:after="160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7A9A"/>
    <w:rPr>
      <w:rFonts w:asciiTheme="minorHAnsi" w:hAnsi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7A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7A9A"/>
    <w:rPr>
      <w:rFonts w:asciiTheme="minorHAnsi" w:hAnsiTheme="minorHAnsi"/>
      <w:b/>
      <w:bCs/>
      <w:sz w:val="20"/>
      <w:szCs w:val="20"/>
    </w:rPr>
  </w:style>
  <w:style w:type="paragraph" w:customStyle="1" w:styleId="CM4">
    <w:name w:val="CM4"/>
    <w:basedOn w:val="Normal"/>
    <w:next w:val="Normal"/>
    <w:uiPriority w:val="99"/>
    <w:rsid w:val="002E7A9A"/>
    <w:pPr>
      <w:autoSpaceDE w:val="0"/>
      <w:autoSpaceDN w:val="0"/>
      <w:adjustRightInd w:val="0"/>
    </w:pPr>
    <w:rPr>
      <w:rFonts w:ascii="Times New Roman" w:hAnsi="Times New Roman" w:cs="Times New Roman"/>
      <w:szCs w:val="24"/>
    </w:rPr>
  </w:style>
  <w:style w:type="character" w:customStyle="1" w:styleId="slitbdy">
    <w:name w:val="s_lit_bdy"/>
    <w:basedOn w:val="DefaultParagraphFont"/>
    <w:rsid w:val="002E7A9A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paragraph" w:customStyle="1" w:styleId="Normal1">
    <w:name w:val="Normal1"/>
    <w:basedOn w:val="Normal"/>
    <w:rsid w:val="002E7A9A"/>
    <w:pPr>
      <w:spacing w:before="60" w:after="60"/>
      <w:jc w:val="both"/>
    </w:pPr>
    <w:rPr>
      <w:rFonts w:eastAsia="Times New Roman" w:cs="Times New Roman"/>
      <w:sz w:val="20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2E7A9A"/>
    <w:rPr>
      <w:color w:val="2998E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E7A9A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nhideWhenUsed/>
    <w:rsid w:val="002E7A9A"/>
    <w:pPr>
      <w:spacing w:before="120" w:after="120"/>
      <w:ind w:left="45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2E7A9A"/>
    <w:rPr>
      <w:rFonts w:ascii="Trebuchet MS" w:eastAsia="Times New Roman" w:hAnsi="Trebuchet MS" w:cs="Arial"/>
      <w:sz w:val="20"/>
      <w:szCs w:val="24"/>
      <w:lang w:val="ro-RO"/>
    </w:rPr>
  </w:style>
  <w:style w:type="character" w:customStyle="1" w:styleId="5NormalChar">
    <w:name w:val="5 Normal Char"/>
    <w:link w:val="5Normal"/>
    <w:locked/>
    <w:rsid w:val="002E7A9A"/>
    <w:rPr>
      <w:rFonts w:ascii="Trebuchet MS" w:hAnsi="Trebuchet MS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2E7A9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120" w:after="120"/>
      <w:ind w:right="57"/>
      <w:jc w:val="both"/>
    </w:pPr>
    <w:rPr>
      <w:rFonts w:ascii="Trebuchet MS" w:hAnsi="Trebuchet MS"/>
      <w:spacing w:val="-2"/>
      <w:szCs w:val="24"/>
    </w:rPr>
  </w:style>
  <w:style w:type="character" w:customStyle="1" w:styleId="Bodytext1">
    <w:name w:val="Body text|1_"/>
    <w:basedOn w:val="DefaultParagraphFont"/>
    <w:link w:val="Bodytext10"/>
    <w:rsid w:val="002E7A9A"/>
  </w:style>
  <w:style w:type="paragraph" w:customStyle="1" w:styleId="Bodytext10">
    <w:name w:val="Body text|1"/>
    <w:basedOn w:val="Normal"/>
    <w:link w:val="Bodytext1"/>
    <w:rsid w:val="002E7A9A"/>
    <w:pPr>
      <w:widowControl w:val="0"/>
      <w:spacing w:after="80"/>
    </w:pPr>
  </w:style>
  <w:style w:type="paragraph" w:customStyle="1" w:styleId="Default">
    <w:name w:val="Default"/>
    <w:rsid w:val="00F72872"/>
    <w:pPr>
      <w:autoSpaceDE w:val="0"/>
      <w:autoSpaceDN w:val="0"/>
      <w:adjustRightInd w:val="0"/>
    </w:pPr>
    <w:rPr>
      <w:rFonts w:ascii="Trebuchet MS" w:hAnsi="Trebuchet MS" w:cs="Trebuchet MS"/>
      <w:color w:val="000000"/>
      <w:szCs w:val="24"/>
      <w:lang w:val="en-GB"/>
    </w:rPr>
  </w:style>
  <w:style w:type="table" w:styleId="TableGrid">
    <w:name w:val="Table Grid"/>
    <w:basedOn w:val="TableNormal"/>
    <w:uiPriority w:val="39"/>
    <w:rsid w:val="00C144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E6957"/>
  </w:style>
  <w:style w:type="paragraph" w:customStyle="1" w:styleId="bullet">
    <w:name w:val="bullet"/>
    <w:basedOn w:val="Normal"/>
    <w:qFormat/>
    <w:rsid w:val="00DE3BEF"/>
    <w:pPr>
      <w:numPr>
        <w:numId w:val="1"/>
      </w:numPr>
      <w:spacing w:before="120" w:after="120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Ghid2">
    <w:name w:val="Ghid 2"/>
    <w:basedOn w:val="Normal"/>
    <w:link w:val="Ghid2Caracter"/>
    <w:rsid w:val="00DE3BEF"/>
    <w:pPr>
      <w:spacing w:before="120" w:line="288" w:lineRule="auto"/>
    </w:pPr>
    <w:rPr>
      <w:rFonts w:ascii="Verdana" w:eastAsia="MS Mincho" w:hAnsi="Verdana" w:cs="Times New Roman"/>
      <w:i/>
      <w:szCs w:val="20"/>
      <w:lang w:val="ro-RO"/>
    </w:rPr>
  </w:style>
  <w:style w:type="character" w:customStyle="1" w:styleId="Ghid2Caracter">
    <w:name w:val="Ghid 2 Caracter"/>
    <w:link w:val="Ghid2"/>
    <w:locked/>
    <w:rsid w:val="00DE3BEF"/>
    <w:rPr>
      <w:rFonts w:ascii="Verdana" w:eastAsia="MS Mincho" w:hAnsi="Verdana" w:cs="Times New Roman"/>
      <w:i/>
      <w:szCs w:val="20"/>
      <w:lang w:val="ro-RO"/>
    </w:rPr>
  </w:style>
  <w:style w:type="paragraph" w:styleId="BodyText">
    <w:name w:val="Body Text"/>
    <w:basedOn w:val="Normal"/>
    <w:link w:val="BodyTextChar"/>
    <w:uiPriority w:val="99"/>
    <w:semiHidden/>
    <w:unhideWhenUsed/>
    <w:rsid w:val="0055596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55964"/>
  </w:style>
  <w:style w:type="character" w:customStyle="1" w:styleId="Heading1">
    <w:name w:val="Heading #1_"/>
    <w:basedOn w:val="DefaultParagraphFont"/>
    <w:link w:val="Heading10"/>
    <w:rsid w:val="00555964"/>
    <w:rPr>
      <w:rFonts w:ascii="Trebuchet MS" w:eastAsia="Trebuchet MS" w:hAnsi="Trebuchet MS" w:cs="Trebuchet MS"/>
      <w:b/>
      <w:bCs/>
      <w:sz w:val="20"/>
      <w:szCs w:val="20"/>
      <w:shd w:val="clear" w:color="auto" w:fill="FFFFFF"/>
    </w:rPr>
  </w:style>
  <w:style w:type="paragraph" w:customStyle="1" w:styleId="Heading10">
    <w:name w:val="Heading #1"/>
    <w:basedOn w:val="Normal"/>
    <w:link w:val="Heading1"/>
    <w:rsid w:val="00555964"/>
    <w:pPr>
      <w:widowControl w:val="0"/>
      <w:shd w:val="clear" w:color="auto" w:fill="FFFFFF"/>
      <w:spacing w:after="160"/>
      <w:ind w:firstLine="700"/>
      <w:outlineLvl w:val="0"/>
    </w:pPr>
    <w:rPr>
      <w:rFonts w:ascii="Trebuchet MS" w:eastAsia="Trebuchet MS" w:hAnsi="Trebuchet MS" w:cs="Trebuchet MS"/>
      <w:b/>
      <w:bCs/>
      <w:sz w:val="20"/>
      <w:szCs w:val="20"/>
    </w:rPr>
  </w:style>
  <w:style w:type="character" w:styleId="Strong">
    <w:name w:val="Strong"/>
    <w:uiPriority w:val="22"/>
    <w:qFormat/>
    <w:rsid w:val="00555964"/>
    <w:rPr>
      <w:b/>
      <w:bCs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,Refer"/>
    <w:basedOn w:val="Normal"/>
    <w:link w:val="FootnoteTextChar1"/>
    <w:uiPriority w:val="99"/>
    <w:rsid w:val="00C94BBF"/>
    <w:rPr>
      <w:rFonts w:ascii="Times New Roman" w:eastAsia="Times New Roman" w:hAnsi="Times New Roman" w:cs="Times New Roman"/>
      <w:sz w:val="16"/>
      <w:szCs w:val="20"/>
      <w:lang w:eastAsia="en-GB"/>
    </w:rPr>
  </w:style>
  <w:style w:type="character" w:customStyle="1" w:styleId="FootnoteTextChar">
    <w:name w:val="Footnote Text Char"/>
    <w:basedOn w:val="DefaultParagraphFont"/>
    <w:uiPriority w:val="99"/>
    <w:semiHidden/>
    <w:rsid w:val="00C94BBF"/>
    <w:rPr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,note TE"/>
    <w:link w:val="BVIfnrChar1Char"/>
    <w:uiPriority w:val="99"/>
    <w:qFormat/>
    <w:rsid w:val="00C94BBF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,Podrozdział Char,Footnote Char,stile 1 Char,Footnote1 Char,Footnote2 Char,Footnote3 Char,Footnote4 Char,Footnote5 Char,f Char"/>
    <w:link w:val="FootnoteText"/>
    <w:uiPriority w:val="99"/>
    <w:rsid w:val="00C94BBF"/>
    <w:rPr>
      <w:rFonts w:ascii="Times New Roman" w:eastAsia="Times New Roman" w:hAnsi="Times New Roman" w:cs="Times New Roman"/>
      <w:sz w:val="16"/>
      <w:szCs w:val="20"/>
      <w:lang w:eastAsia="en-GB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C94BBF"/>
    <w:pPr>
      <w:spacing w:after="160" w:line="240" w:lineRule="exact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DE083-8B45-43E9-96C7-2BA9ADB3F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5</Pages>
  <Words>628</Words>
  <Characters>3581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 BI</Company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draft metodologie AT</dc:subject>
  <dc:creator>DESC P AM</dc:creator>
  <cp:keywords/>
  <dc:description/>
  <cp:lastModifiedBy>MIHAELA ANCA ISPAS</cp:lastModifiedBy>
  <cp:revision>73</cp:revision>
  <dcterms:created xsi:type="dcterms:W3CDTF">2023-07-14T11:49:00Z</dcterms:created>
  <dcterms:modified xsi:type="dcterms:W3CDTF">2023-12-07T14:39:00Z</dcterms:modified>
</cp:coreProperties>
</file>